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BB6C0" w14:textId="77777777" w:rsidR="00500E9C" w:rsidRDefault="00BC76E0">
      <w:pPr>
        <w:jc w:val="center"/>
      </w:pPr>
      <w:r>
        <w:t>178 FERC ¶ 61,021</w:t>
      </w:r>
    </w:p>
    <w:p w14:paraId="5C4EB98B" w14:textId="77777777" w:rsidR="00FA727F" w:rsidRPr="00CD0B38" w:rsidRDefault="00FA727F" w:rsidP="002A311D">
      <w:pPr>
        <w:jc w:val="center"/>
      </w:pPr>
      <w:r>
        <w:rPr>
          <w:b/>
        </w:rPr>
        <w:fldChar w:fldCharType="begin"/>
      </w:r>
      <w:r>
        <w:rPr>
          <w:b/>
        </w:rPr>
        <w:instrText xml:space="preserve"> MACROBUTTON  AcceptAllChangesInDoc </w:instrText>
      </w:r>
      <w:r>
        <w:rPr>
          <w:b/>
        </w:rPr>
        <w:fldChar w:fldCharType="end"/>
      </w:r>
      <w:r w:rsidRPr="00CD0B38">
        <w:t>UNITED STATES OF AMERICA</w:t>
      </w:r>
    </w:p>
    <w:p w14:paraId="5330E283" w14:textId="77777777" w:rsidR="00FA727F" w:rsidRPr="00CD0B38" w:rsidRDefault="00FA727F" w:rsidP="002A311D">
      <w:pPr>
        <w:jc w:val="center"/>
      </w:pPr>
      <w:r w:rsidRPr="00CD0B38">
        <w:t>FEDERAL ENERGY REGULATORY COMMISSION</w:t>
      </w:r>
    </w:p>
    <w:p w14:paraId="156E8D57" w14:textId="77777777" w:rsidR="00FA727F" w:rsidRDefault="00FA727F" w:rsidP="002A311D"/>
    <w:p w14:paraId="4D30FC99" w14:textId="77777777" w:rsidR="00DF7BBB" w:rsidRPr="00CD0B38" w:rsidRDefault="00DF7BBB" w:rsidP="002A311D"/>
    <w:p w14:paraId="6B576A0C" w14:textId="77777777" w:rsidR="00FA727F" w:rsidRPr="00DF7BBB" w:rsidRDefault="00DF7BBB" w:rsidP="00DF673F">
      <w:pPr>
        <w:widowControl/>
      </w:pPr>
      <w:r w:rsidRPr="00DF7BBB">
        <w:t>Before Commissioners:  Richard Glick, Chairman;</w:t>
      </w:r>
    </w:p>
    <w:p w14:paraId="138C40DA" w14:textId="77777777" w:rsidR="00DF7BBB" w:rsidRPr="00DF7BBB" w:rsidRDefault="00DF7BBB" w:rsidP="00DF673F">
      <w:pPr>
        <w:widowControl/>
      </w:pPr>
      <w:r w:rsidRPr="00DF7BBB">
        <w:t xml:space="preserve">                                        James P. Danly, Allison Clements,</w:t>
      </w:r>
    </w:p>
    <w:p w14:paraId="06A0B3A8" w14:textId="77777777" w:rsidR="00DF7BBB" w:rsidRPr="00CD0B38" w:rsidRDefault="00DF7BBB" w:rsidP="00DF673F">
      <w:pPr>
        <w:widowControl/>
      </w:pPr>
      <w:r w:rsidRPr="00DF673F">
        <w:t xml:space="preserve">                                        Mark C. Christie, and Willie L. Phillips.</w:t>
      </w:r>
    </w:p>
    <w:p w14:paraId="5E18D9F2" w14:textId="77777777" w:rsidR="00FA727F" w:rsidRDefault="00FA727F" w:rsidP="002A311D"/>
    <w:p w14:paraId="7A6DEF4E" w14:textId="77777777" w:rsidR="00DF7BBB" w:rsidRPr="00CD0B38" w:rsidRDefault="00DF7BBB" w:rsidP="002A311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2"/>
        <w:gridCol w:w="1529"/>
        <w:gridCol w:w="1909"/>
      </w:tblGrid>
      <w:tr w:rsidR="00FA727F" w:rsidRPr="00CD0B38" w14:paraId="2F9D43B7" w14:textId="77777777" w:rsidTr="00FA727F">
        <w:tc>
          <w:tcPr>
            <w:tcW w:w="6088" w:type="dxa"/>
            <w:shd w:val="clear" w:color="auto" w:fill="auto"/>
          </w:tcPr>
          <w:p w14:paraId="66826DBB" w14:textId="77777777" w:rsidR="008A08D7" w:rsidRDefault="008A08D7" w:rsidP="000D1AFA">
            <w:pPr>
              <w:widowControl/>
              <w:autoSpaceDE/>
              <w:autoSpaceDN/>
              <w:adjustRightInd/>
              <w:rPr>
                <w:rFonts w:eastAsiaTheme="minorHAnsi" w:cstheme="minorBidi"/>
                <w:szCs w:val="22"/>
              </w:rPr>
            </w:pPr>
            <w:r>
              <w:rPr>
                <w:rFonts w:eastAsiaTheme="minorHAnsi" w:cstheme="minorBidi"/>
                <w:szCs w:val="22"/>
              </w:rPr>
              <w:t>Talen Energy Marketing, LLC</w:t>
            </w:r>
          </w:p>
          <w:p w14:paraId="34B89C71" w14:textId="77777777" w:rsidR="0001238C" w:rsidRDefault="0001238C" w:rsidP="002A311D">
            <w:pPr>
              <w:widowControl/>
              <w:autoSpaceDE/>
              <w:autoSpaceDN/>
              <w:adjustRightInd/>
              <w:rPr>
                <w:rFonts w:eastAsiaTheme="minorHAnsi" w:cstheme="minorBidi"/>
                <w:szCs w:val="22"/>
              </w:rPr>
            </w:pPr>
            <w:r w:rsidRPr="0001238C">
              <w:rPr>
                <w:rFonts w:eastAsiaTheme="minorHAnsi" w:cstheme="minorBidi"/>
                <w:szCs w:val="22"/>
              </w:rPr>
              <w:t>EF Kenilworth, LLC</w:t>
            </w:r>
          </w:p>
          <w:p w14:paraId="2956580B" w14:textId="77777777" w:rsidR="0001238C" w:rsidRDefault="0001238C" w:rsidP="002A311D">
            <w:pPr>
              <w:widowControl/>
              <w:autoSpaceDE/>
              <w:autoSpaceDN/>
              <w:adjustRightInd/>
              <w:rPr>
                <w:rFonts w:eastAsiaTheme="minorHAnsi" w:cstheme="minorBidi"/>
                <w:szCs w:val="22"/>
              </w:rPr>
            </w:pPr>
            <w:r w:rsidRPr="0001238C">
              <w:rPr>
                <w:rFonts w:eastAsiaTheme="minorHAnsi" w:cstheme="minorBidi"/>
                <w:szCs w:val="22"/>
              </w:rPr>
              <w:t xml:space="preserve">Chambersburg Energy, LLC </w:t>
            </w:r>
          </w:p>
          <w:p w14:paraId="707C724A" w14:textId="77777777" w:rsidR="0001238C" w:rsidRDefault="0001238C" w:rsidP="002A311D">
            <w:pPr>
              <w:widowControl/>
              <w:autoSpaceDE/>
              <w:autoSpaceDN/>
              <w:adjustRightInd/>
              <w:rPr>
                <w:rFonts w:eastAsiaTheme="minorHAnsi" w:cstheme="minorBidi"/>
                <w:szCs w:val="22"/>
              </w:rPr>
            </w:pPr>
            <w:r w:rsidRPr="0001238C">
              <w:rPr>
                <w:rFonts w:eastAsiaTheme="minorHAnsi" w:cstheme="minorBidi"/>
                <w:szCs w:val="22"/>
              </w:rPr>
              <w:t xml:space="preserve">Rockford Power, LLC </w:t>
            </w:r>
          </w:p>
          <w:p w14:paraId="713967FB" w14:textId="77777777" w:rsidR="0001238C" w:rsidRDefault="0001238C" w:rsidP="002A311D">
            <w:pPr>
              <w:widowControl/>
              <w:autoSpaceDE/>
              <w:autoSpaceDN/>
              <w:adjustRightInd/>
              <w:rPr>
                <w:rFonts w:eastAsiaTheme="minorHAnsi" w:cstheme="minorBidi"/>
                <w:szCs w:val="22"/>
              </w:rPr>
            </w:pPr>
            <w:r w:rsidRPr="0001238C">
              <w:rPr>
                <w:rFonts w:eastAsiaTheme="minorHAnsi" w:cstheme="minorBidi"/>
                <w:szCs w:val="22"/>
              </w:rPr>
              <w:t xml:space="preserve">Rockford Power II, LLC </w:t>
            </w:r>
          </w:p>
          <w:p w14:paraId="425705FD" w14:textId="77777777" w:rsidR="0001238C" w:rsidRDefault="0001238C" w:rsidP="002A311D">
            <w:pPr>
              <w:widowControl/>
              <w:autoSpaceDE/>
              <w:autoSpaceDN/>
              <w:adjustRightInd/>
              <w:rPr>
                <w:rFonts w:eastAsiaTheme="minorHAnsi" w:cstheme="minorBidi"/>
                <w:szCs w:val="22"/>
              </w:rPr>
            </w:pPr>
            <w:r w:rsidRPr="0001238C">
              <w:rPr>
                <w:rFonts w:eastAsiaTheme="minorHAnsi" w:cstheme="minorBidi"/>
                <w:szCs w:val="22"/>
              </w:rPr>
              <w:t xml:space="preserve">Troy Energy, LLC </w:t>
            </w:r>
          </w:p>
          <w:p w14:paraId="1F8D93DA" w14:textId="77777777" w:rsidR="0001238C" w:rsidRDefault="0001238C" w:rsidP="002A311D">
            <w:pPr>
              <w:widowControl/>
              <w:autoSpaceDE/>
              <w:autoSpaceDN/>
              <w:adjustRightInd/>
              <w:rPr>
                <w:rFonts w:eastAsiaTheme="minorHAnsi" w:cstheme="minorBidi"/>
                <w:szCs w:val="22"/>
              </w:rPr>
            </w:pPr>
            <w:r w:rsidRPr="0001238C">
              <w:rPr>
                <w:rFonts w:eastAsiaTheme="minorHAnsi" w:cstheme="minorBidi"/>
                <w:szCs w:val="22"/>
              </w:rPr>
              <w:t xml:space="preserve">LSP University Park, LLC </w:t>
            </w:r>
          </w:p>
          <w:p w14:paraId="156DDCFA" w14:textId="77777777" w:rsidR="0001238C" w:rsidRDefault="0001238C" w:rsidP="002A311D">
            <w:pPr>
              <w:widowControl/>
              <w:autoSpaceDE/>
              <w:autoSpaceDN/>
              <w:adjustRightInd/>
              <w:rPr>
                <w:rFonts w:eastAsiaTheme="minorHAnsi" w:cstheme="minorBidi"/>
                <w:szCs w:val="22"/>
              </w:rPr>
            </w:pPr>
            <w:r w:rsidRPr="0001238C">
              <w:rPr>
                <w:rFonts w:eastAsiaTheme="minorHAnsi" w:cstheme="minorBidi"/>
                <w:szCs w:val="22"/>
              </w:rPr>
              <w:t xml:space="preserve">University Park Energy, LLC </w:t>
            </w:r>
          </w:p>
          <w:p w14:paraId="32C320F0" w14:textId="77777777" w:rsidR="0001238C" w:rsidRDefault="0001238C" w:rsidP="002A311D">
            <w:pPr>
              <w:widowControl/>
              <w:autoSpaceDE/>
              <w:autoSpaceDN/>
              <w:adjustRightInd/>
              <w:rPr>
                <w:rFonts w:eastAsiaTheme="minorHAnsi" w:cstheme="minorBidi"/>
                <w:szCs w:val="22"/>
              </w:rPr>
            </w:pPr>
            <w:r>
              <w:rPr>
                <w:rFonts w:eastAsiaTheme="minorHAnsi" w:cstheme="minorBidi"/>
                <w:szCs w:val="22"/>
              </w:rPr>
              <w:t>Energy Center Dover, LLC</w:t>
            </w:r>
          </w:p>
          <w:p w14:paraId="02D360EC" w14:textId="77777777" w:rsidR="0001238C" w:rsidRDefault="0001238C" w:rsidP="002A311D">
            <w:pPr>
              <w:widowControl/>
              <w:autoSpaceDE/>
              <w:autoSpaceDN/>
              <w:adjustRightInd/>
              <w:rPr>
                <w:rFonts w:eastAsiaTheme="minorHAnsi" w:cstheme="minorBidi"/>
                <w:szCs w:val="22"/>
              </w:rPr>
            </w:pPr>
          </w:p>
          <w:p w14:paraId="0239E706" w14:textId="77777777" w:rsidR="0001238C" w:rsidRDefault="0001238C" w:rsidP="002A311D">
            <w:pPr>
              <w:widowControl/>
              <w:autoSpaceDE/>
              <w:autoSpaceDN/>
              <w:adjustRightInd/>
              <w:rPr>
                <w:rFonts w:eastAsiaTheme="minorHAnsi" w:cstheme="minorBidi"/>
                <w:szCs w:val="22"/>
              </w:rPr>
            </w:pPr>
          </w:p>
          <w:p w14:paraId="026087E2" w14:textId="77777777" w:rsidR="00FA727F" w:rsidRPr="00CD0B38" w:rsidRDefault="0001238C" w:rsidP="002A311D">
            <w:pPr>
              <w:widowControl/>
              <w:autoSpaceDE/>
              <w:autoSpaceDN/>
              <w:adjustRightInd/>
              <w:rPr>
                <w:rFonts w:eastAsiaTheme="minorHAnsi" w:cstheme="minorBidi"/>
                <w:szCs w:val="22"/>
              </w:rPr>
            </w:pPr>
            <w:r>
              <w:rPr>
                <w:rFonts w:eastAsiaTheme="minorHAnsi" w:cstheme="minorBidi"/>
                <w:szCs w:val="22"/>
              </w:rPr>
              <w:t>PJM Interconnection, L</w:t>
            </w:r>
            <w:r w:rsidR="007721D2">
              <w:rPr>
                <w:rFonts w:eastAsiaTheme="minorHAnsi" w:cstheme="minorBidi"/>
                <w:szCs w:val="22"/>
              </w:rPr>
              <w:t>.</w:t>
            </w:r>
            <w:r>
              <w:rPr>
                <w:rFonts w:eastAsiaTheme="minorHAnsi" w:cstheme="minorBidi"/>
                <w:szCs w:val="22"/>
              </w:rPr>
              <w:t>L</w:t>
            </w:r>
            <w:r w:rsidR="007721D2">
              <w:rPr>
                <w:rFonts w:eastAsiaTheme="minorHAnsi" w:cstheme="minorBidi"/>
                <w:szCs w:val="22"/>
              </w:rPr>
              <w:t>.</w:t>
            </w:r>
            <w:r>
              <w:rPr>
                <w:rFonts w:eastAsiaTheme="minorHAnsi" w:cstheme="minorBidi"/>
                <w:szCs w:val="22"/>
              </w:rPr>
              <w:t>C</w:t>
            </w:r>
            <w:r w:rsidR="007721D2">
              <w:rPr>
                <w:rFonts w:eastAsiaTheme="minorHAnsi" w:cstheme="minorBidi"/>
                <w:szCs w:val="22"/>
              </w:rPr>
              <w:t>.</w:t>
            </w:r>
          </w:p>
        </w:tc>
        <w:tc>
          <w:tcPr>
            <w:tcW w:w="1560" w:type="dxa"/>
            <w:shd w:val="clear" w:color="auto" w:fill="auto"/>
          </w:tcPr>
          <w:p w14:paraId="4C49A424" w14:textId="77777777" w:rsidR="00FA727F" w:rsidRPr="00CD0B38" w:rsidRDefault="00FA727F" w:rsidP="00DF673F">
            <w:pPr>
              <w:widowControl/>
              <w:autoSpaceDE/>
              <w:autoSpaceDN/>
              <w:adjustRightInd/>
              <w:jc w:val="right"/>
              <w:rPr>
                <w:rFonts w:eastAsiaTheme="minorHAnsi" w:cstheme="minorBidi"/>
                <w:szCs w:val="22"/>
              </w:rPr>
            </w:pPr>
            <w:r>
              <w:rPr>
                <w:rFonts w:eastAsiaTheme="minorHAnsi" w:cstheme="minorBidi"/>
                <w:szCs w:val="22"/>
              </w:rPr>
              <w:t>Docket No</w:t>
            </w:r>
            <w:r w:rsidR="0001238C">
              <w:rPr>
                <w:rFonts w:eastAsiaTheme="minorHAnsi" w:cstheme="minorBidi"/>
                <w:szCs w:val="22"/>
              </w:rPr>
              <w:t>s</w:t>
            </w:r>
            <w:r>
              <w:rPr>
                <w:rFonts w:eastAsiaTheme="minorHAnsi" w:cstheme="minorBidi"/>
                <w:szCs w:val="22"/>
              </w:rPr>
              <w:t>.</w:t>
            </w:r>
          </w:p>
        </w:tc>
        <w:tc>
          <w:tcPr>
            <w:tcW w:w="1928" w:type="dxa"/>
            <w:shd w:val="clear" w:color="auto" w:fill="auto"/>
            <w:tcMar>
              <w:left w:w="144" w:type="dxa"/>
            </w:tcMar>
          </w:tcPr>
          <w:p w14:paraId="402AD063" w14:textId="77777777" w:rsidR="008A08D7" w:rsidRDefault="003855AC" w:rsidP="00DF7BBB">
            <w:pPr>
              <w:widowControl/>
              <w:autoSpaceDE/>
              <w:autoSpaceDN/>
              <w:adjustRightInd/>
              <w:ind w:left="-126"/>
              <w:rPr>
                <w:rFonts w:eastAsiaTheme="minorHAnsi" w:cstheme="minorBidi"/>
                <w:szCs w:val="22"/>
              </w:rPr>
            </w:pPr>
            <w:r>
              <w:rPr>
                <w:rFonts w:eastAsiaTheme="minorHAnsi" w:cstheme="minorBidi"/>
                <w:szCs w:val="22"/>
              </w:rPr>
              <w:t xml:space="preserve"> </w:t>
            </w:r>
            <w:r w:rsidR="008A08D7">
              <w:rPr>
                <w:rFonts w:eastAsiaTheme="minorHAnsi" w:cstheme="minorBidi"/>
                <w:szCs w:val="22"/>
              </w:rPr>
              <w:t>ER22-474-000</w:t>
            </w:r>
          </w:p>
          <w:p w14:paraId="45893863" w14:textId="77777777" w:rsidR="003855AC" w:rsidRDefault="003855AC" w:rsidP="00DF7BBB">
            <w:pPr>
              <w:widowControl/>
              <w:autoSpaceDE/>
              <w:autoSpaceDN/>
              <w:adjustRightInd/>
              <w:ind w:left="-126"/>
              <w:rPr>
                <w:rFonts w:eastAsiaTheme="minorHAnsi" w:cstheme="minorBidi"/>
                <w:szCs w:val="22"/>
              </w:rPr>
            </w:pPr>
            <w:r>
              <w:rPr>
                <w:rFonts w:eastAsiaTheme="minorHAnsi" w:cstheme="minorBidi"/>
                <w:szCs w:val="22"/>
              </w:rPr>
              <w:t xml:space="preserve"> </w:t>
            </w:r>
            <w:r w:rsidR="0001238C">
              <w:rPr>
                <w:rFonts w:eastAsiaTheme="minorHAnsi" w:cstheme="minorBidi"/>
                <w:szCs w:val="22"/>
              </w:rPr>
              <w:t xml:space="preserve">ER22-539-000 </w:t>
            </w:r>
          </w:p>
          <w:p w14:paraId="3C450050" w14:textId="77777777" w:rsidR="0001238C" w:rsidRDefault="003855AC" w:rsidP="00DF7BBB">
            <w:pPr>
              <w:widowControl/>
              <w:autoSpaceDE/>
              <w:autoSpaceDN/>
              <w:adjustRightInd/>
              <w:ind w:left="-126"/>
              <w:rPr>
                <w:rFonts w:eastAsiaTheme="minorHAnsi" w:cstheme="minorBidi"/>
                <w:szCs w:val="22"/>
              </w:rPr>
            </w:pPr>
            <w:r>
              <w:rPr>
                <w:rFonts w:eastAsiaTheme="minorHAnsi" w:cstheme="minorBidi"/>
                <w:szCs w:val="22"/>
              </w:rPr>
              <w:t xml:space="preserve"> </w:t>
            </w:r>
            <w:r w:rsidR="00FA727F">
              <w:rPr>
                <w:rFonts w:eastAsiaTheme="minorHAnsi" w:cstheme="minorBidi"/>
                <w:szCs w:val="22"/>
              </w:rPr>
              <w:t>ER22-550-000</w:t>
            </w:r>
          </w:p>
          <w:p w14:paraId="3E29C871" w14:textId="77777777" w:rsidR="0001238C" w:rsidRDefault="003855AC" w:rsidP="00DF7BBB">
            <w:pPr>
              <w:widowControl/>
              <w:autoSpaceDE/>
              <w:autoSpaceDN/>
              <w:adjustRightInd/>
              <w:ind w:left="-126"/>
              <w:rPr>
                <w:rFonts w:eastAsiaTheme="minorHAnsi" w:cstheme="minorBidi"/>
                <w:szCs w:val="22"/>
              </w:rPr>
            </w:pPr>
            <w:r>
              <w:rPr>
                <w:rFonts w:eastAsiaTheme="minorHAnsi" w:cstheme="minorBidi"/>
                <w:szCs w:val="22"/>
              </w:rPr>
              <w:t xml:space="preserve"> </w:t>
            </w:r>
            <w:r w:rsidR="0001238C">
              <w:rPr>
                <w:rFonts w:eastAsiaTheme="minorHAnsi" w:cstheme="minorBidi"/>
                <w:szCs w:val="22"/>
              </w:rPr>
              <w:t>ER22-551-000</w:t>
            </w:r>
          </w:p>
          <w:p w14:paraId="63FB668C" w14:textId="77777777" w:rsidR="0001238C" w:rsidRDefault="003855AC" w:rsidP="00DF673F">
            <w:pPr>
              <w:widowControl/>
              <w:autoSpaceDE/>
              <w:autoSpaceDN/>
              <w:adjustRightInd/>
              <w:ind w:left="-126"/>
              <w:rPr>
                <w:rFonts w:eastAsiaTheme="minorHAnsi" w:cstheme="minorBidi"/>
                <w:szCs w:val="22"/>
              </w:rPr>
            </w:pPr>
            <w:r>
              <w:rPr>
                <w:rFonts w:eastAsiaTheme="minorHAnsi" w:cstheme="minorBidi"/>
                <w:szCs w:val="22"/>
              </w:rPr>
              <w:t xml:space="preserve"> </w:t>
            </w:r>
            <w:r w:rsidR="0001238C">
              <w:rPr>
                <w:rFonts w:eastAsiaTheme="minorHAnsi" w:cstheme="minorBidi"/>
                <w:szCs w:val="22"/>
              </w:rPr>
              <w:t>ER22-552-000</w:t>
            </w:r>
          </w:p>
          <w:p w14:paraId="3E99FE59" w14:textId="77777777" w:rsidR="0001238C" w:rsidRDefault="003855AC" w:rsidP="00DF673F">
            <w:pPr>
              <w:widowControl/>
              <w:autoSpaceDE/>
              <w:autoSpaceDN/>
              <w:adjustRightInd/>
              <w:ind w:left="-126"/>
              <w:rPr>
                <w:rFonts w:eastAsiaTheme="minorHAnsi" w:cstheme="minorBidi"/>
                <w:szCs w:val="22"/>
              </w:rPr>
            </w:pPr>
            <w:r>
              <w:rPr>
                <w:rFonts w:eastAsiaTheme="minorHAnsi" w:cstheme="minorBidi"/>
                <w:szCs w:val="22"/>
              </w:rPr>
              <w:t xml:space="preserve"> </w:t>
            </w:r>
            <w:r w:rsidR="0001238C">
              <w:rPr>
                <w:rFonts w:eastAsiaTheme="minorHAnsi" w:cstheme="minorBidi"/>
                <w:szCs w:val="22"/>
              </w:rPr>
              <w:t>ER22-553-000</w:t>
            </w:r>
          </w:p>
          <w:p w14:paraId="34BF6EFB" w14:textId="77777777" w:rsidR="0001238C" w:rsidRDefault="003855AC" w:rsidP="00DF673F">
            <w:pPr>
              <w:widowControl/>
              <w:autoSpaceDE/>
              <w:autoSpaceDN/>
              <w:adjustRightInd/>
              <w:ind w:left="-126"/>
              <w:rPr>
                <w:rFonts w:eastAsiaTheme="minorHAnsi" w:cstheme="minorBidi"/>
                <w:szCs w:val="22"/>
              </w:rPr>
            </w:pPr>
            <w:r>
              <w:rPr>
                <w:rFonts w:eastAsiaTheme="minorHAnsi" w:cstheme="minorBidi"/>
                <w:szCs w:val="22"/>
              </w:rPr>
              <w:t xml:space="preserve"> </w:t>
            </w:r>
            <w:r w:rsidR="0001238C">
              <w:rPr>
                <w:rFonts w:eastAsiaTheme="minorHAnsi" w:cstheme="minorBidi"/>
                <w:szCs w:val="22"/>
              </w:rPr>
              <w:t>ER22-554-000</w:t>
            </w:r>
          </w:p>
          <w:p w14:paraId="2F115413" w14:textId="77777777" w:rsidR="0001238C" w:rsidRDefault="003855AC" w:rsidP="00DF673F">
            <w:pPr>
              <w:widowControl/>
              <w:autoSpaceDE/>
              <w:autoSpaceDN/>
              <w:adjustRightInd/>
              <w:ind w:left="-126"/>
              <w:rPr>
                <w:rFonts w:eastAsiaTheme="minorHAnsi" w:cstheme="minorBidi"/>
                <w:szCs w:val="22"/>
              </w:rPr>
            </w:pPr>
            <w:r>
              <w:rPr>
                <w:rFonts w:eastAsiaTheme="minorHAnsi" w:cstheme="minorBidi"/>
                <w:szCs w:val="22"/>
              </w:rPr>
              <w:t xml:space="preserve"> </w:t>
            </w:r>
            <w:r w:rsidR="0001238C">
              <w:rPr>
                <w:rFonts w:eastAsiaTheme="minorHAnsi" w:cstheme="minorBidi"/>
                <w:szCs w:val="22"/>
              </w:rPr>
              <w:t>ER22-555-000</w:t>
            </w:r>
          </w:p>
          <w:p w14:paraId="46D31BEB" w14:textId="77777777" w:rsidR="0001238C" w:rsidRDefault="003855AC" w:rsidP="00DF673F">
            <w:pPr>
              <w:widowControl/>
              <w:autoSpaceDE/>
              <w:autoSpaceDN/>
              <w:adjustRightInd/>
              <w:ind w:left="-126"/>
              <w:rPr>
                <w:rFonts w:eastAsiaTheme="minorHAnsi" w:cstheme="minorBidi"/>
                <w:szCs w:val="22"/>
              </w:rPr>
            </w:pPr>
            <w:r>
              <w:rPr>
                <w:rFonts w:eastAsiaTheme="minorHAnsi" w:cstheme="minorBidi"/>
                <w:szCs w:val="22"/>
              </w:rPr>
              <w:t xml:space="preserve"> </w:t>
            </w:r>
            <w:r w:rsidR="0001238C">
              <w:rPr>
                <w:rFonts w:eastAsiaTheme="minorHAnsi" w:cstheme="minorBidi"/>
                <w:szCs w:val="22"/>
              </w:rPr>
              <w:t>ER22-704-000</w:t>
            </w:r>
          </w:p>
          <w:p w14:paraId="2BE2D6FF" w14:textId="77777777" w:rsidR="0001238C" w:rsidRDefault="0001238C" w:rsidP="002A311D">
            <w:pPr>
              <w:widowControl/>
              <w:autoSpaceDE/>
              <w:autoSpaceDN/>
              <w:adjustRightInd/>
              <w:ind w:left="-126"/>
              <w:rPr>
                <w:rFonts w:eastAsiaTheme="minorHAnsi" w:cstheme="minorBidi"/>
                <w:szCs w:val="22"/>
              </w:rPr>
            </w:pPr>
            <w:r>
              <w:rPr>
                <w:rFonts w:eastAsiaTheme="minorHAnsi" w:cstheme="minorBidi"/>
                <w:szCs w:val="22"/>
              </w:rPr>
              <w:t>(not consolidated)</w:t>
            </w:r>
          </w:p>
          <w:p w14:paraId="385EB932" w14:textId="77777777" w:rsidR="0001238C" w:rsidRDefault="0001238C" w:rsidP="002A311D">
            <w:pPr>
              <w:widowControl/>
              <w:autoSpaceDE/>
              <w:autoSpaceDN/>
              <w:adjustRightInd/>
              <w:rPr>
                <w:rFonts w:eastAsiaTheme="minorHAnsi" w:cstheme="minorBidi"/>
                <w:szCs w:val="22"/>
              </w:rPr>
            </w:pPr>
          </w:p>
          <w:p w14:paraId="24F394B9" w14:textId="77777777" w:rsidR="00FA727F" w:rsidRPr="00CD0B38" w:rsidRDefault="003855AC" w:rsidP="00DF673F">
            <w:pPr>
              <w:widowControl/>
              <w:autoSpaceDE/>
              <w:autoSpaceDN/>
              <w:adjustRightInd/>
              <w:ind w:left="-126"/>
              <w:rPr>
                <w:rFonts w:eastAsiaTheme="minorHAnsi" w:cstheme="minorBidi"/>
                <w:szCs w:val="22"/>
              </w:rPr>
            </w:pPr>
            <w:r>
              <w:rPr>
                <w:rFonts w:eastAsiaTheme="minorHAnsi" w:cstheme="minorBidi"/>
                <w:szCs w:val="22"/>
              </w:rPr>
              <w:t xml:space="preserve"> </w:t>
            </w:r>
            <w:r w:rsidR="0001238C">
              <w:rPr>
                <w:rFonts w:eastAsiaTheme="minorHAnsi" w:cstheme="minorBidi"/>
                <w:szCs w:val="22"/>
              </w:rPr>
              <w:t>EL22-</w:t>
            </w:r>
            <w:r w:rsidR="00F8098C" w:rsidRPr="00DE3CE7">
              <w:rPr>
                <w:rFonts w:cstheme="minorBidi"/>
              </w:rPr>
              <w:t>22</w:t>
            </w:r>
            <w:r w:rsidR="0001238C">
              <w:rPr>
                <w:rFonts w:eastAsiaTheme="minorHAnsi" w:cstheme="minorBidi"/>
                <w:szCs w:val="22"/>
              </w:rPr>
              <w:t>-000</w:t>
            </w:r>
          </w:p>
        </w:tc>
      </w:tr>
    </w:tbl>
    <w:p w14:paraId="3F3B9A66" w14:textId="77777777" w:rsidR="00FA727F" w:rsidRPr="00CD0B38" w:rsidRDefault="00FA727F" w:rsidP="002A311D">
      <w:pPr>
        <w:jc w:val="center"/>
      </w:pPr>
    </w:p>
    <w:p w14:paraId="6C9F0981" w14:textId="77777777" w:rsidR="00FA727F" w:rsidRPr="00CD0B38" w:rsidRDefault="00FA727F" w:rsidP="002A311D">
      <w:pPr>
        <w:jc w:val="center"/>
      </w:pPr>
      <w:r>
        <w:t>ORDER REJECTING ALTERNATIVE OFFER CAPS AND ESTABLISHING A SHOW CAUSE PROCEEDING</w:t>
      </w:r>
    </w:p>
    <w:p w14:paraId="2C3C7A86" w14:textId="77777777" w:rsidR="00FA727F" w:rsidRPr="00CD0B38" w:rsidRDefault="00FA727F" w:rsidP="002A311D">
      <w:pPr>
        <w:jc w:val="center"/>
      </w:pPr>
    </w:p>
    <w:p w14:paraId="27352672" w14:textId="20429E0C" w:rsidR="00FA727F" w:rsidRDefault="00DF7BBB" w:rsidP="0091526F">
      <w:pPr>
        <w:widowControl/>
        <w:jc w:val="center"/>
      </w:pPr>
      <w:r w:rsidRPr="00DF673F">
        <w:t xml:space="preserve">(Issued January </w:t>
      </w:r>
      <w:r w:rsidR="003855AC">
        <w:t>2</w:t>
      </w:r>
      <w:r w:rsidR="00135F49">
        <w:t>1</w:t>
      </w:r>
      <w:r w:rsidRPr="003855AC">
        <w:t>, 2022)</w:t>
      </w:r>
    </w:p>
    <w:p w14:paraId="3D10ACFF" w14:textId="77777777" w:rsidR="00FA727F" w:rsidRPr="00C26B1C" w:rsidRDefault="00FA727F" w:rsidP="002A311D">
      <w:pPr>
        <w:rPr>
          <w:bCs/>
        </w:rPr>
      </w:pPr>
    </w:p>
    <w:p w14:paraId="43C97459" w14:textId="77777777" w:rsidR="002A311D" w:rsidRDefault="005E2DAD" w:rsidP="00607FBF">
      <w:pPr>
        <w:pStyle w:val="FERCparanumber"/>
      </w:pPr>
      <w:r>
        <w:t>On</w:t>
      </w:r>
      <w:r w:rsidR="002A311D">
        <w:t xml:space="preserve"> November 2</w:t>
      </w:r>
      <w:r w:rsidR="00C91F08">
        <w:t>4</w:t>
      </w:r>
      <w:r w:rsidR="002A311D">
        <w:t>, 2021</w:t>
      </w:r>
      <w:r w:rsidR="00C91F08">
        <w:t>, pursuant to section 205 of the Federal Power Act (FPA),</w:t>
      </w:r>
      <w:r w:rsidR="00C91F08">
        <w:rPr>
          <w:rStyle w:val="FootnoteReference"/>
        </w:rPr>
        <w:footnoteReference w:id="2"/>
      </w:r>
      <w:r w:rsidR="00C91F08">
        <w:t xml:space="preserve"> Part 35 of the Commission’s Rules of Practice and Procedure,</w:t>
      </w:r>
      <w:r w:rsidR="00C91F08">
        <w:rPr>
          <w:rStyle w:val="FootnoteReference"/>
        </w:rPr>
        <w:footnoteReference w:id="3"/>
      </w:r>
      <w:r w:rsidR="00C91F08">
        <w:t xml:space="preserve"> and </w:t>
      </w:r>
      <w:r w:rsidR="006F07D0">
        <w:t>s</w:t>
      </w:r>
      <w:r w:rsidR="00C91F08">
        <w:t>ection II.E.3 of Attachment M-Appendix</w:t>
      </w:r>
      <w:r w:rsidR="00A91D2B">
        <w:rPr>
          <w:rStyle w:val="FootnoteReference"/>
        </w:rPr>
        <w:footnoteReference w:id="4"/>
      </w:r>
      <w:r w:rsidR="00C91F08">
        <w:t xml:space="preserve"> and </w:t>
      </w:r>
      <w:r w:rsidR="006F07D0">
        <w:t>s</w:t>
      </w:r>
      <w:r w:rsidR="00C91F08">
        <w:t>ection 6.4(a) of Attachment DD to the PJM Open Access Transmission Tariff (Tariff),</w:t>
      </w:r>
      <w:r w:rsidR="00A91D2B">
        <w:rPr>
          <w:rStyle w:val="FootnoteReference"/>
        </w:rPr>
        <w:footnoteReference w:id="5"/>
      </w:r>
      <w:r w:rsidR="00A91D2B">
        <w:t xml:space="preserve"> </w:t>
      </w:r>
      <w:r w:rsidR="002A311D">
        <w:t xml:space="preserve">Talen Energy Marketing, LLC filed </w:t>
      </w:r>
      <w:r w:rsidR="00231E18" w:rsidRPr="00231E18">
        <w:t>a letter agreement between it</w:t>
      </w:r>
      <w:r w:rsidR="00231E18">
        <w:t>self</w:t>
      </w:r>
      <w:r w:rsidR="00231E18" w:rsidRPr="00231E18">
        <w:t xml:space="preserve"> and M</w:t>
      </w:r>
      <w:r w:rsidR="00F35275">
        <w:t>onitor</w:t>
      </w:r>
      <w:r w:rsidR="00231E18" w:rsidRPr="00231E18">
        <w:t xml:space="preserve">ing Analytics, LLC, in its capacity as the Independent Market Monitor </w:t>
      </w:r>
      <w:r w:rsidR="001B59D7">
        <w:t xml:space="preserve">(IMM) </w:t>
      </w:r>
      <w:r w:rsidR="00231E18" w:rsidRPr="00231E18">
        <w:t xml:space="preserve">for PJM </w:t>
      </w:r>
      <w:r w:rsidR="001B59D7">
        <w:t xml:space="preserve">Interconnection, L.L.C. </w:t>
      </w:r>
      <w:r w:rsidR="00231E18" w:rsidRPr="00231E18">
        <w:t>(</w:t>
      </w:r>
      <w:r w:rsidR="001B59D7">
        <w:t>PJM</w:t>
      </w:r>
      <w:r w:rsidR="00231E18" w:rsidRPr="00231E18">
        <w:t>)</w:t>
      </w:r>
      <w:r w:rsidR="00231E18">
        <w:t>.</w:t>
      </w:r>
      <w:r w:rsidR="00150F77">
        <w:t xml:space="preserve"> </w:t>
      </w:r>
      <w:r w:rsidR="00231E18">
        <w:t xml:space="preserve"> </w:t>
      </w:r>
      <w:r w:rsidR="002A311D">
        <w:t>On November 2</w:t>
      </w:r>
      <w:r w:rsidR="00747A59">
        <w:t>6</w:t>
      </w:r>
      <w:r w:rsidR="002A311D">
        <w:t>, 2021</w:t>
      </w:r>
      <w:r w:rsidR="00150F77">
        <w:t>,</w:t>
      </w:r>
      <w:r w:rsidR="002A311D">
        <w:t xml:space="preserve"> EF </w:t>
      </w:r>
      <w:r w:rsidR="002A311D">
        <w:lastRenderedPageBreak/>
        <w:t>Keni</w:t>
      </w:r>
      <w:r w:rsidR="00BE30CB">
        <w:t>l</w:t>
      </w:r>
      <w:r w:rsidR="002A311D">
        <w:t xml:space="preserve">worth, LLC </w:t>
      </w:r>
      <w:r w:rsidR="00231E18">
        <w:t xml:space="preserve">filed </w:t>
      </w:r>
      <w:r w:rsidR="00231E18" w:rsidRPr="00231E18">
        <w:t>a letter agreement between it</w:t>
      </w:r>
      <w:r w:rsidR="00231E18">
        <w:t>self</w:t>
      </w:r>
      <w:r w:rsidR="00231E18" w:rsidRPr="00231E18">
        <w:t xml:space="preserve"> and </w:t>
      </w:r>
      <w:r w:rsidR="00231E18">
        <w:t xml:space="preserve">the IMM.  </w:t>
      </w:r>
      <w:r w:rsidR="00571460">
        <w:t>On November 29, 2021, Energy Center Dover, LLC filed</w:t>
      </w:r>
      <w:r w:rsidR="00571460" w:rsidRPr="00231E18">
        <w:t xml:space="preserve"> </w:t>
      </w:r>
      <w:r w:rsidR="00875980">
        <w:t>three</w:t>
      </w:r>
      <w:r w:rsidR="00571460" w:rsidRPr="00231E18">
        <w:t xml:space="preserve"> letter agreement</w:t>
      </w:r>
      <w:r w:rsidR="00875980">
        <w:t>s</w:t>
      </w:r>
      <w:r w:rsidR="00571460" w:rsidRPr="00231E18">
        <w:t xml:space="preserve"> between it</w:t>
      </w:r>
      <w:r w:rsidR="00571460">
        <w:t>self</w:t>
      </w:r>
      <w:r w:rsidR="00571460" w:rsidRPr="00231E18">
        <w:t xml:space="preserve"> and</w:t>
      </w:r>
      <w:r w:rsidR="00571460">
        <w:t xml:space="preserve"> </w:t>
      </w:r>
      <w:r w:rsidR="003855AC">
        <w:br/>
      </w:r>
      <w:r w:rsidR="00571460">
        <w:t>the IMM</w:t>
      </w:r>
      <w:r w:rsidR="00875980" w:rsidRPr="00875980">
        <w:t xml:space="preserve"> and supplemented its filing on January 12, 2022</w:t>
      </w:r>
      <w:r w:rsidR="00571460">
        <w:t xml:space="preserve">.  </w:t>
      </w:r>
      <w:r w:rsidR="002A311D">
        <w:t xml:space="preserve">On December </w:t>
      </w:r>
      <w:r w:rsidR="005E3F57">
        <w:t>6</w:t>
      </w:r>
      <w:r w:rsidR="002A311D">
        <w:t>, 2021</w:t>
      </w:r>
      <w:r w:rsidR="00150F77">
        <w:t>,</w:t>
      </w:r>
      <w:r w:rsidR="002A311D">
        <w:t xml:space="preserve"> </w:t>
      </w:r>
      <w:r w:rsidR="002A311D" w:rsidRPr="0001238C">
        <w:t>Chambersburg Energy, LLC</w:t>
      </w:r>
      <w:r w:rsidR="002A311D">
        <w:t xml:space="preserve">, </w:t>
      </w:r>
      <w:r w:rsidR="002A311D" w:rsidRPr="0001238C">
        <w:t>Rockford Power, LLC</w:t>
      </w:r>
      <w:r w:rsidR="002A311D">
        <w:t xml:space="preserve">, </w:t>
      </w:r>
      <w:r w:rsidR="002A311D" w:rsidRPr="0001238C">
        <w:t>Rockford Power II, LLC</w:t>
      </w:r>
      <w:r w:rsidR="002A311D">
        <w:t xml:space="preserve">, </w:t>
      </w:r>
      <w:r w:rsidR="002A311D" w:rsidRPr="0001238C">
        <w:t>Troy Energy, LLC</w:t>
      </w:r>
      <w:r w:rsidR="002A311D">
        <w:t xml:space="preserve">, </w:t>
      </w:r>
      <w:r w:rsidR="002A311D" w:rsidRPr="0001238C">
        <w:t>LSP University Park, LLC</w:t>
      </w:r>
      <w:r w:rsidR="002A311D">
        <w:t xml:space="preserve">, and </w:t>
      </w:r>
      <w:r w:rsidR="002A311D" w:rsidRPr="0001238C">
        <w:t xml:space="preserve">University Park Energy, LLC </w:t>
      </w:r>
      <w:r w:rsidR="00150F77">
        <w:t xml:space="preserve">each </w:t>
      </w:r>
      <w:r w:rsidR="003855AC">
        <w:br/>
      </w:r>
      <w:r w:rsidR="002A311D">
        <w:t xml:space="preserve">filed </w:t>
      </w:r>
      <w:r w:rsidR="00231E18" w:rsidRPr="00231E18">
        <w:t>a letter agreement between it</w:t>
      </w:r>
      <w:r w:rsidR="00231E18">
        <w:t>self</w:t>
      </w:r>
      <w:r w:rsidR="00231E18" w:rsidRPr="00231E18">
        <w:t xml:space="preserve"> and </w:t>
      </w:r>
      <w:r w:rsidR="00231E18">
        <w:t>the IMM</w:t>
      </w:r>
      <w:r w:rsidR="002A311D">
        <w:t>.</w:t>
      </w:r>
      <w:r w:rsidR="002A311D">
        <w:rPr>
          <w:rStyle w:val="FootnoteReference"/>
        </w:rPr>
        <w:footnoteReference w:id="6"/>
      </w:r>
      <w:r w:rsidR="002A311D">
        <w:t xml:space="preserve"> </w:t>
      </w:r>
      <w:r w:rsidR="00520B3A">
        <w:t xml:space="preserve"> </w:t>
      </w:r>
      <w:r w:rsidR="00231E18">
        <w:t xml:space="preserve">These letter agreements concern </w:t>
      </w:r>
      <w:r w:rsidR="00231E18" w:rsidRPr="00231E18">
        <w:t xml:space="preserve">alternative </w:t>
      </w:r>
      <w:r w:rsidR="00231E18">
        <w:t>Mar</w:t>
      </w:r>
      <w:r w:rsidR="00231E18" w:rsidRPr="00231E18">
        <w:t>ket Seller Offer Caps</w:t>
      </w:r>
      <w:r w:rsidR="00231E18">
        <w:t xml:space="preserve"> (offer caps)</w:t>
      </w:r>
      <w:r w:rsidR="00231E18" w:rsidRPr="00231E18">
        <w:t xml:space="preserve"> for each </w:t>
      </w:r>
      <w:r w:rsidR="00231E18">
        <w:t>Seller</w:t>
      </w:r>
      <w:r w:rsidR="00231E18" w:rsidRPr="00231E18">
        <w:t xml:space="preserve">’s offer into the Base Residual Auction </w:t>
      </w:r>
      <w:r w:rsidR="00231E18">
        <w:t xml:space="preserve">(BRA) </w:t>
      </w:r>
      <w:r w:rsidR="00231E18" w:rsidRPr="00231E18">
        <w:t xml:space="preserve">for the 2023/2024 </w:t>
      </w:r>
      <w:r w:rsidR="00231E18">
        <w:t>d</w:t>
      </w:r>
      <w:r w:rsidR="00231E18" w:rsidRPr="00231E18">
        <w:t xml:space="preserve">elivery </w:t>
      </w:r>
      <w:r w:rsidR="00231E18">
        <w:t>y</w:t>
      </w:r>
      <w:r w:rsidR="00231E18" w:rsidRPr="00231E18">
        <w:t>ear</w:t>
      </w:r>
      <w:r w:rsidR="00231E18">
        <w:t xml:space="preserve">.  </w:t>
      </w:r>
      <w:r w:rsidR="002A311D">
        <w:t xml:space="preserve">We reject </w:t>
      </w:r>
      <w:r w:rsidR="00F74B44">
        <w:t xml:space="preserve">the </w:t>
      </w:r>
      <w:r w:rsidR="00150F77">
        <w:t>letter agreements</w:t>
      </w:r>
      <w:r w:rsidR="00F74B44">
        <w:t xml:space="preserve"> and establish a show cause proceeding</w:t>
      </w:r>
      <w:r w:rsidR="00E100AC">
        <w:t xml:space="preserve"> pursuant to section 206 of the FPA</w:t>
      </w:r>
      <w:r w:rsidR="00F74B44">
        <w:t>,</w:t>
      </w:r>
      <w:r w:rsidR="00E100AC">
        <w:rPr>
          <w:rStyle w:val="FootnoteReference"/>
        </w:rPr>
        <w:footnoteReference w:id="7"/>
      </w:r>
      <w:r w:rsidR="00F74B44">
        <w:t xml:space="preserve"> as discussed below. </w:t>
      </w:r>
    </w:p>
    <w:p w14:paraId="22815FA3" w14:textId="77777777" w:rsidR="005E2DAD" w:rsidRDefault="005E2DAD" w:rsidP="005E2DAD">
      <w:pPr>
        <w:pStyle w:val="Heading1"/>
      </w:pPr>
      <w:r>
        <w:t>Background</w:t>
      </w:r>
    </w:p>
    <w:p w14:paraId="583EB9DE" w14:textId="77777777" w:rsidR="00715479" w:rsidRPr="00715479" w:rsidRDefault="00715479" w:rsidP="005A5866">
      <w:pPr>
        <w:pStyle w:val="FERCparanumber"/>
      </w:pPr>
      <w:r>
        <w:t>S</w:t>
      </w:r>
      <w:r w:rsidRPr="00715479">
        <w:t>ection 6.4</w:t>
      </w:r>
      <w:r w:rsidR="00AB2F66">
        <w:t>(a)</w:t>
      </w:r>
      <w:r w:rsidRPr="00715479">
        <w:t xml:space="preserve"> of Attachment DD to </w:t>
      </w:r>
      <w:r w:rsidR="00FE3CF0">
        <w:t xml:space="preserve">the Tariff </w:t>
      </w:r>
      <w:r w:rsidRPr="00715479">
        <w:t>establishes the process for determining the offer cap applicable to a resource</w:t>
      </w:r>
      <w:r w:rsidR="007540D2">
        <w:t xml:space="preserve"> in PJM’s capacity market, the BRA</w:t>
      </w:r>
      <w:r w:rsidRPr="00715479">
        <w:t xml:space="preserve">.  </w:t>
      </w:r>
      <w:bookmarkStart w:id="0" w:name="_Hlk90285170"/>
      <w:r w:rsidR="00111BD4">
        <w:t>Relevant to this order</w:t>
      </w:r>
      <w:r w:rsidRPr="00715479">
        <w:t xml:space="preserve">, </w:t>
      </w:r>
      <w:r w:rsidR="004F79F3">
        <w:t>s</w:t>
      </w:r>
      <w:r w:rsidR="000A7ECD" w:rsidRPr="00715479">
        <w:t>ection 6.4</w:t>
      </w:r>
      <w:r w:rsidR="000A7ECD">
        <w:t>(a)</w:t>
      </w:r>
      <w:r w:rsidR="000A7ECD" w:rsidRPr="00715479">
        <w:t xml:space="preserve"> </w:t>
      </w:r>
      <w:r w:rsidR="000A7ECD">
        <w:t xml:space="preserve">and </w:t>
      </w:r>
      <w:r w:rsidR="000A7ECD">
        <w:rPr>
          <w:bCs/>
        </w:rPr>
        <w:t xml:space="preserve">duplicative language in </w:t>
      </w:r>
      <w:r w:rsidR="005A5866">
        <w:t>a</w:t>
      </w:r>
      <w:r w:rsidR="000A7ECD" w:rsidRPr="00600322">
        <w:t>ttach</w:t>
      </w:r>
      <w:r w:rsidR="005A5866">
        <w:t>.</w:t>
      </w:r>
      <w:r w:rsidR="000A7ECD" w:rsidRPr="00600322">
        <w:t xml:space="preserve"> M-</w:t>
      </w:r>
      <w:r w:rsidR="005A5866">
        <w:t>a</w:t>
      </w:r>
      <w:r w:rsidR="000A7ECD" w:rsidRPr="00600322">
        <w:t>pp</w:t>
      </w:r>
      <w:r w:rsidR="005A5866">
        <w:t>.</w:t>
      </w:r>
      <w:r w:rsidR="000A7ECD" w:rsidRPr="00600322">
        <w:t xml:space="preserve">, </w:t>
      </w:r>
      <w:r w:rsidR="005A5866">
        <w:t xml:space="preserve">     </w:t>
      </w:r>
      <w:r w:rsidR="000A7ECD" w:rsidRPr="00600322">
        <w:t>section II.E.3</w:t>
      </w:r>
      <w:r w:rsidR="000A7ECD">
        <w:t xml:space="preserve"> (Alternative Offer Cap Provisions) </w:t>
      </w:r>
      <w:r w:rsidRPr="00715479">
        <w:t xml:space="preserve">allow any seller and the </w:t>
      </w:r>
      <w:r w:rsidR="00751567">
        <w:t>IMM</w:t>
      </w:r>
      <w:r w:rsidRPr="00715479">
        <w:t xml:space="preserve"> to agree on an alternative offer cap </w:t>
      </w:r>
      <w:r w:rsidR="00F6400C">
        <w:t>under the following conditions</w:t>
      </w:r>
      <w:r w:rsidRPr="00715479">
        <w:t>:</w:t>
      </w:r>
      <w:bookmarkEnd w:id="0"/>
    </w:p>
    <w:p w14:paraId="796D68B0" w14:textId="77777777" w:rsidR="00715479" w:rsidRPr="00715479" w:rsidRDefault="00715479" w:rsidP="00715479">
      <w:pPr>
        <w:pStyle w:val="BlockIndent"/>
      </w:pPr>
      <w:r w:rsidRPr="00715479">
        <w:t xml:space="preserve">Nothing herein shall preclude any Capacity Market Seller and the Market Monitoring Unit from agreeing to, nor require either such entity to agree to, an alternative market seller offer cap determined on a mutually agreeable basis. </w:t>
      </w:r>
      <w:r w:rsidR="005A5866">
        <w:t xml:space="preserve"> </w:t>
      </w:r>
      <w:r w:rsidRPr="00715479">
        <w:rPr>
          <w:i/>
          <w:iCs/>
        </w:rPr>
        <w:t>Any such alternative offer cap shall be filed with the Commission for its approval</w:t>
      </w:r>
      <w:r w:rsidRPr="00715479">
        <w:t>.</w:t>
      </w:r>
      <w:r w:rsidRPr="00715479">
        <w:rPr>
          <w:b/>
          <w:vertAlign w:val="superscript"/>
        </w:rPr>
        <w:footnoteReference w:id="8"/>
      </w:r>
    </w:p>
    <w:p w14:paraId="75562F7B" w14:textId="77777777" w:rsidR="005E2DAD" w:rsidRDefault="005E2DAD" w:rsidP="005E2DAD">
      <w:pPr>
        <w:pStyle w:val="Heading1"/>
      </w:pPr>
      <w:r>
        <w:t>Filings</w:t>
      </w:r>
    </w:p>
    <w:p w14:paraId="06687228" w14:textId="77777777" w:rsidR="005E2DAD" w:rsidRDefault="00A75415" w:rsidP="0032517B">
      <w:pPr>
        <w:pStyle w:val="FERCparanumber"/>
      </w:pPr>
      <w:r>
        <w:t>Each</w:t>
      </w:r>
      <w:r w:rsidR="00D706C3">
        <w:t xml:space="preserve"> Seller filed a letter agreement between </w:t>
      </w:r>
      <w:r>
        <w:t xml:space="preserve">itself </w:t>
      </w:r>
      <w:r w:rsidR="00D706C3">
        <w:t xml:space="preserve">and the IMM.  The Sellers explain that the letter agreements </w:t>
      </w:r>
      <w:r w:rsidR="00D706C3" w:rsidRPr="00D706C3">
        <w:t>memorialize the</w:t>
      </w:r>
      <w:r w:rsidR="00E100AC">
        <w:t>ir</w:t>
      </w:r>
      <w:r w:rsidR="00D706C3" w:rsidRPr="00D706C3">
        <w:t xml:space="preserve"> agreement</w:t>
      </w:r>
      <w:r w:rsidR="00E100AC">
        <w:t>s</w:t>
      </w:r>
      <w:r w:rsidR="00D706C3" w:rsidRPr="00D706C3">
        <w:t xml:space="preserve"> </w:t>
      </w:r>
      <w:r>
        <w:t xml:space="preserve">on an </w:t>
      </w:r>
      <w:r w:rsidR="00D706C3" w:rsidRPr="00D706C3">
        <w:t xml:space="preserve">alternative </w:t>
      </w:r>
      <w:r w:rsidR="00D706C3">
        <w:t>o</w:t>
      </w:r>
      <w:r w:rsidR="00D706C3" w:rsidRPr="00D706C3">
        <w:t xml:space="preserve">ffer </w:t>
      </w:r>
      <w:r w:rsidR="00D706C3">
        <w:lastRenderedPageBreak/>
        <w:t>c</w:t>
      </w:r>
      <w:r w:rsidR="00D706C3" w:rsidRPr="00D706C3">
        <w:t xml:space="preserve">ap for </w:t>
      </w:r>
      <w:r w:rsidR="00D706C3">
        <w:t xml:space="preserve">each </w:t>
      </w:r>
      <w:r>
        <w:t>resource</w:t>
      </w:r>
      <w:r w:rsidR="00D706C3" w:rsidRPr="00D706C3">
        <w:t>’</w:t>
      </w:r>
      <w:r w:rsidR="00D706C3">
        <w:t>s</w:t>
      </w:r>
      <w:r w:rsidR="00D706C3" w:rsidRPr="00D706C3">
        <w:t xml:space="preserve"> offer into the 2023/2024 BRA and </w:t>
      </w:r>
      <w:r w:rsidR="007540D2">
        <w:t>specify</w:t>
      </w:r>
      <w:r w:rsidR="007540D2" w:rsidRPr="00D706C3">
        <w:t xml:space="preserve"> </w:t>
      </w:r>
      <w:r w:rsidR="00D706C3" w:rsidRPr="00D706C3">
        <w:t>that</w:t>
      </w:r>
      <w:r w:rsidR="00D706C3">
        <w:t xml:space="preserve"> each Seller </w:t>
      </w:r>
      <w:r w:rsidR="00D706C3" w:rsidRPr="00D706C3">
        <w:t xml:space="preserve">will use the </w:t>
      </w:r>
      <w:r w:rsidR="009D4A37" w:rsidRPr="004E674F">
        <w:t xml:space="preserve">net energy and ancillary services </w:t>
      </w:r>
      <w:r w:rsidR="009D4A37">
        <w:t>(</w:t>
      </w:r>
      <w:r w:rsidR="00D706C3" w:rsidRPr="00D706C3">
        <w:t>E&amp;AS</w:t>
      </w:r>
      <w:r w:rsidR="009D4A37">
        <w:t>)</w:t>
      </w:r>
      <w:r w:rsidR="00D706C3" w:rsidRPr="00D706C3">
        <w:t xml:space="preserve"> revenue values issued by the IMM on November 12, 2021 </w:t>
      </w:r>
      <w:r w:rsidR="007540D2">
        <w:t>to calculate</w:t>
      </w:r>
      <w:r w:rsidR="007540D2" w:rsidRPr="00D706C3">
        <w:t xml:space="preserve"> </w:t>
      </w:r>
      <w:r w:rsidR="00D706C3" w:rsidRPr="00D706C3">
        <w:t xml:space="preserve">their </w:t>
      </w:r>
      <w:r w:rsidR="007540D2">
        <w:t xml:space="preserve">respective </w:t>
      </w:r>
      <w:r w:rsidR="00D706C3">
        <w:t>alternative</w:t>
      </w:r>
      <w:r w:rsidR="00D706C3" w:rsidRPr="00D706C3">
        <w:t xml:space="preserve"> </w:t>
      </w:r>
      <w:r w:rsidR="00D706C3">
        <w:t>o</w:t>
      </w:r>
      <w:r w:rsidR="00D706C3" w:rsidRPr="00D706C3">
        <w:t xml:space="preserve">ffer </w:t>
      </w:r>
      <w:r w:rsidR="00D706C3">
        <w:t>c</w:t>
      </w:r>
      <w:r w:rsidR="00D706C3" w:rsidRPr="00D706C3">
        <w:t>aps.</w:t>
      </w:r>
      <w:r w:rsidR="000B3BA7">
        <w:t xml:space="preserve"> </w:t>
      </w:r>
      <w:r w:rsidR="006E4098">
        <w:t xml:space="preserve"> </w:t>
      </w:r>
    </w:p>
    <w:p w14:paraId="6FF00E5E" w14:textId="77777777" w:rsidR="004E674F" w:rsidRDefault="00AD2BF5" w:rsidP="0032517B">
      <w:pPr>
        <w:pStyle w:val="FERCparanumber"/>
      </w:pPr>
      <w:r>
        <w:t>Each letter agreement</w:t>
      </w:r>
      <w:r w:rsidR="00875980">
        <w:t xml:space="preserve"> </w:t>
      </w:r>
      <w:r>
        <w:t>provides the following description of the alternative offer caps</w:t>
      </w:r>
      <w:r w:rsidR="004E674F">
        <w:t>:</w:t>
      </w:r>
      <w:r w:rsidR="004E674F" w:rsidRPr="004E674F">
        <w:t xml:space="preserve"> </w:t>
      </w:r>
    </w:p>
    <w:p w14:paraId="676421EF" w14:textId="77777777" w:rsidR="004E674F" w:rsidRDefault="004E674F" w:rsidP="005A5866">
      <w:pPr>
        <w:pStyle w:val="BlockIndent"/>
        <w:ind w:right="1350"/>
      </w:pPr>
      <w:r w:rsidRPr="004E674F">
        <w:t>Specifically, for the 2023/2024 BRA, Capacity Market Seller and the IMM mutually agree that the Market Seller Offer Caps (“MSOCs”) will be (1) the MSOCs posted by the IMM on November 12, 2021, calculated using the recalculated projected net energy and ancillary services revenues (the “November 12 E&amp;AS Values”) for all of Capacity Market Seller’s Existing Generation Capacity Resources for which it chose the default Avoidable Cost Rate (“ACR”) option; and (2) the MSOCs posted by the IMM on November 12, 2021, calculated using recalculated alternative projected net energy and ancillary services revenues (the “November 12 Alternative E&amp;AS Values”) for all of Capacity Market Seller’s Existing Generation Capacity Resources for which it chose the unit specific ACR option</w:t>
      </w:r>
      <w:r w:rsidR="00150318">
        <w:t>.</w:t>
      </w:r>
    </w:p>
    <w:p w14:paraId="0776BC59" w14:textId="77777777" w:rsidR="005E2DAD" w:rsidRDefault="005E2DAD" w:rsidP="005E2DAD">
      <w:pPr>
        <w:pStyle w:val="Heading1"/>
      </w:pPr>
      <w:r>
        <w:t>Notice of Filings</w:t>
      </w:r>
    </w:p>
    <w:p w14:paraId="712452BC" w14:textId="77777777" w:rsidR="00206168" w:rsidRPr="00334DF0" w:rsidRDefault="005E2DAD" w:rsidP="005E2DAD">
      <w:pPr>
        <w:pStyle w:val="FERCparanumber"/>
      </w:pPr>
      <w:r w:rsidRPr="005E2DAD">
        <w:t xml:space="preserve">Notice of </w:t>
      </w:r>
      <w:r w:rsidR="00727C81" w:rsidRPr="00727C81">
        <w:t>Talen Energy Marketing, LLC</w:t>
      </w:r>
      <w:r w:rsidR="00727C81">
        <w:t>’s</w:t>
      </w:r>
      <w:r w:rsidRPr="005E2DAD">
        <w:t xml:space="preserve"> filing was published in the </w:t>
      </w:r>
      <w:r w:rsidRPr="005E2DAD">
        <w:rPr>
          <w:i/>
          <w:iCs/>
        </w:rPr>
        <w:t>Federal Register</w:t>
      </w:r>
      <w:r w:rsidRPr="00334DF0">
        <w:t xml:space="preserve">, </w:t>
      </w:r>
      <w:r w:rsidR="00E9223E" w:rsidRPr="00334DF0">
        <w:t>86</w:t>
      </w:r>
      <w:r w:rsidRPr="00334DF0">
        <w:t xml:space="preserve"> Fed. Reg. </w:t>
      </w:r>
      <w:r w:rsidR="00E9223E" w:rsidRPr="00334DF0">
        <w:t>68</w:t>
      </w:r>
      <w:r w:rsidR="009B2E9B" w:rsidRPr="00334DF0">
        <w:t>,</w:t>
      </w:r>
      <w:r w:rsidR="00E9223E" w:rsidRPr="00334DF0">
        <w:t xml:space="preserve">246 </w:t>
      </w:r>
      <w:r w:rsidRPr="00334DF0">
        <w:t>(</w:t>
      </w:r>
      <w:r w:rsidR="009B2E9B" w:rsidRPr="00334DF0">
        <w:t>Nov. 24, 2021</w:t>
      </w:r>
      <w:r w:rsidRPr="00334DF0">
        <w:t xml:space="preserve">), with interventions and </w:t>
      </w:r>
      <w:r w:rsidR="008A5DC4">
        <w:t>protests</w:t>
      </w:r>
      <w:r w:rsidRPr="00334DF0">
        <w:t xml:space="preserve"> due on or before </w:t>
      </w:r>
      <w:r w:rsidR="009B2E9B" w:rsidRPr="00334DF0">
        <w:t>December 15, 2021</w:t>
      </w:r>
      <w:r w:rsidRPr="00334DF0">
        <w:t xml:space="preserve">.  Timely motions to intervene were filed by </w:t>
      </w:r>
      <w:r w:rsidR="00B9457B" w:rsidRPr="00334DF0">
        <w:t xml:space="preserve">PJM and the IMM.  </w:t>
      </w:r>
      <w:r w:rsidR="00CF73BF">
        <w:t xml:space="preserve">No </w:t>
      </w:r>
      <w:r w:rsidR="008A5DC4">
        <w:t>protests</w:t>
      </w:r>
      <w:r w:rsidR="00CF73BF">
        <w:t xml:space="preserve"> were filed.</w:t>
      </w:r>
      <w:r w:rsidR="00B9457B" w:rsidRPr="00334DF0">
        <w:t xml:space="preserve">  </w:t>
      </w:r>
    </w:p>
    <w:p w14:paraId="1986DD2D" w14:textId="77777777" w:rsidR="00206168" w:rsidRPr="00334DF0" w:rsidRDefault="00B9457B" w:rsidP="005E2DAD">
      <w:pPr>
        <w:pStyle w:val="FERCparanumber"/>
      </w:pPr>
      <w:r w:rsidRPr="00334DF0">
        <w:t xml:space="preserve">Notice of EF Kenilworth, LLC’s filing was published in the </w:t>
      </w:r>
      <w:r w:rsidRPr="00334DF0">
        <w:rPr>
          <w:i/>
          <w:iCs/>
        </w:rPr>
        <w:t>Federal Register</w:t>
      </w:r>
      <w:r w:rsidRPr="00334DF0">
        <w:t xml:space="preserve">, </w:t>
      </w:r>
      <w:r w:rsidR="003855AC">
        <w:br/>
      </w:r>
      <w:r w:rsidRPr="00334DF0">
        <w:t xml:space="preserve">86 Fed. Reg. 71,256 (Dec. 15, 2021), with interventions and </w:t>
      </w:r>
      <w:r w:rsidR="008A5DC4">
        <w:t>protests</w:t>
      </w:r>
      <w:r w:rsidRPr="00334DF0">
        <w:t xml:space="preserve"> due on or before December 17, 2021.  None </w:t>
      </w:r>
      <w:r w:rsidR="004431F3">
        <w:t>w</w:t>
      </w:r>
      <w:r w:rsidR="008A5DC4">
        <w:t>as</w:t>
      </w:r>
      <w:r w:rsidRPr="00334DF0">
        <w:t xml:space="preserve"> filed. </w:t>
      </w:r>
      <w:r w:rsidR="00997494" w:rsidRPr="00334DF0">
        <w:t xml:space="preserve"> </w:t>
      </w:r>
    </w:p>
    <w:p w14:paraId="65DFC9F5" w14:textId="77777777" w:rsidR="0075742E" w:rsidRPr="00334DF0" w:rsidRDefault="00997494" w:rsidP="005E2DAD">
      <w:pPr>
        <w:pStyle w:val="FERCparanumber"/>
      </w:pPr>
      <w:r w:rsidRPr="00334DF0">
        <w:t xml:space="preserve">Notice of </w:t>
      </w:r>
      <w:r w:rsidRPr="00334DF0">
        <w:rPr>
          <w:rFonts w:cstheme="minorBidi"/>
        </w:rPr>
        <w:t>Chambersburg Energy, LLC</w:t>
      </w:r>
      <w:r w:rsidRPr="00334DF0">
        <w:t xml:space="preserve">’s filing was published in the </w:t>
      </w:r>
      <w:r w:rsidRPr="00334DF0">
        <w:rPr>
          <w:i/>
          <w:iCs/>
        </w:rPr>
        <w:t>Federal Register</w:t>
      </w:r>
      <w:r w:rsidRPr="00334DF0">
        <w:t xml:space="preserve">, 86 Fed. Reg. 70,487 (Dec. 10, 2021), with interventions and </w:t>
      </w:r>
      <w:r w:rsidR="008A5DC4">
        <w:t>protests</w:t>
      </w:r>
      <w:r w:rsidRPr="00334DF0">
        <w:t xml:space="preserve"> due on or before December 27, 2021.  Timely motions to intervene were filed by PJM and the IMM.  </w:t>
      </w:r>
      <w:r w:rsidR="00AC4C9F">
        <w:t xml:space="preserve">No </w:t>
      </w:r>
      <w:r w:rsidR="008A5DC4">
        <w:t>protests</w:t>
      </w:r>
      <w:r w:rsidR="00AC4C9F">
        <w:t xml:space="preserve"> were filed.</w:t>
      </w:r>
      <w:r w:rsidRPr="00334DF0">
        <w:t xml:space="preserve">  </w:t>
      </w:r>
    </w:p>
    <w:p w14:paraId="5553A833" w14:textId="77777777" w:rsidR="0075742E" w:rsidRPr="00334DF0" w:rsidRDefault="00997494" w:rsidP="005E2DAD">
      <w:pPr>
        <w:pStyle w:val="FERCparanumber"/>
      </w:pPr>
      <w:r w:rsidRPr="00334DF0">
        <w:t xml:space="preserve">Notice of Rockford Power, LLC’s filing was published in the </w:t>
      </w:r>
      <w:r w:rsidRPr="00334DF0">
        <w:rPr>
          <w:i/>
          <w:iCs/>
        </w:rPr>
        <w:t>Federal Register</w:t>
      </w:r>
      <w:r w:rsidRPr="00334DF0">
        <w:t xml:space="preserve">, </w:t>
      </w:r>
      <w:r w:rsidR="00DF7BBB">
        <w:br/>
      </w:r>
      <w:r w:rsidRPr="00334DF0">
        <w:t xml:space="preserve">86 Fed. Reg. 70,487 (Dec. 10, 2021), with interventions and </w:t>
      </w:r>
      <w:r w:rsidR="008A5DC4">
        <w:t>protests</w:t>
      </w:r>
      <w:r w:rsidRPr="00334DF0">
        <w:t xml:space="preserve"> due on or before December 27, 2021.  Timely motions to intervene were filed by PJM and the IMM.  </w:t>
      </w:r>
      <w:r w:rsidR="003855AC">
        <w:br/>
      </w:r>
      <w:r w:rsidR="00AC4C9F">
        <w:t xml:space="preserve">No </w:t>
      </w:r>
      <w:r w:rsidR="008A5DC4">
        <w:t>protests</w:t>
      </w:r>
      <w:r w:rsidR="00AC4C9F">
        <w:t xml:space="preserve"> were filed.</w:t>
      </w:r>
      <w:r w:rsidRPr="00334DF0">
        <w:t xml:space="preserve">  </w:t>
      </w:r>
    </w:p>
    <w:p w14:paraId="05689176" w14:textId="77777777" w:rsidR="0075742E" w:rsidRPr="00334DF0" w:rsidRDefault="00997494" w:rsidP="005E2DAD">
      <w:pPr>
        <w:pStyle w:val="FERCparanumber"/>
      </w:pPr>
      <w:r w:rsidRPr="00334DF0">
        <w:lastRenderedPageBreak/>
        <w:t xml:space="preserve">Notice of Rockford Power II, LLC’s filing was published in the </w:t>
      </w:r>
      <w:r w:rsidRPr="00334DF0">
        <w:rPr>
          <w:i/>
          <w:iCs/>
        </w:rPr>
        <w:t>Federal Register</w:t>
      </w:r>
      <w:r w:rsidRPr="00334DF0">
        <w:t xml:space="preserve">, 86 Fed. Reg. 70,487 (Dec. 10, 2021), with interventions and </w:t>
      </w:r>
      <w:r w:rsidR="008A5DC4">
        <w:t>protests</w:t>
      </w:r>
      <w:r w:rsidRPr="00334DF0">
        <w:t xml:space="preserve"> due on or before December 27, 2021.  Timely motions to intervene were filed by PJM and the IMM.  </w:t>
      </w:r>
      <w:r w:rsidR="00DF7BBB">
        <w:br/>
      </w:r>
      <w:r w:rsidR="00C278E6">
        <w:t xml:space="preserve">No </w:t>
      </w:r>
      <w:r w:rsidR="00420D27">
        <w:t>protests</w:t>
      </w:r>
      <w:r w:rsidR="00C278E6">
        <w:t xml:space="preserve"> were filed.</w:t>
      </w:r>
      <w:r w:rsidRPr="00334DF0">
        <w:t xml:space="preserve">  </w:t>
      </w:r>
    </w:p>
    <w:p w14:paraId="17A102AF" w14:textId="77777777" w:rsidR="0075742E" w:rsidRPr="00334DF0" w:rsidRDefault="00997494" w:rsidP="005E2DAD">
      <w:pPr>
        <w:pStyle w:val="FERCparanumber"/>
      </w:pPr>
      <w:r w:rsidRPr="00334DF0">
        <w:t xml:space="preserve">Notice of Troy Energy, LLC’s filing was published in the </w:t>
      </w:r>
      <w:r w:rsidRPr="00334DF0">
        <w:rPr>
          <w:i/>
          <w:iCs/>
        </w:rPr>
        <w:t>Federal Register</w:t>
      </w:r>
      <w:r w:rsidRPr="00334DF0">
        <w:t xml:space="preserve">, </w:t>
      </w:r>
      <w:r w:rsidR="00DF7BBB">
        <w:br/>
      </w:r>
      <w:r w:rsidRPr="00334DF0">
        <w:t xml:space="preserve">86 Fed. Reg. 70,487 (Dec. 10, 2021), with interventions and </w:t>
      </w:r>
      <w:r w:rsidR="00420D27">
        <w:t>protests</w:t>
      </w:r>
      <w:r w:rsidRPr="00334DF0">
        <w:t xml:space="preserve"> due on or before December 27, 2021.  Timely motions to intervene were filed by PJM and the IMM.  </w:t>
      </w:r>
      <w:r w:rsidR="00DF7BBB">
        <w:br/>
      </w:r>
      <w:r w:rsidR="00C278E6">
        <w:t xml:space="preserve">No </w:t>
      </w:r>
      <w:r w:rsidR="00420D27">
        <w:t>protests</w:t>
      </w:r>
      <w:r w:rsidR="00C278E6">
        <w:t xml:space="preserve"> were filed.</w:t>
      </w:r>
      <w:r w:rsidRPr="00334DF0">
        <w:t xml:space="preserve">  </w:t>
      </w:r>
    </w:p>
    <w:p w14:paraId="16F0AA80" w14:textId="77777777" w:rsidR="0075742E" w:rsidRPr="00334DF0" w:rsidRDefault="00997494" w:rsidP="00DF673F">
      <w:pPr>
        <w:pStyle w:val="FERCparanumber"/>
        <w:ind w:right="-90"/>
      </w:pPr>
      <w:r w:rsidRPr="00334DF0">
        <w:t xml:space="preserve">Notice of LSP University Park, LLC’s filing was published in the </w:t>
      </w:r>
      <w:r w:rsidRPr="00334DF0">
        <w:rPr>
          <w:i/>
          <w:iCs/>
        </w:rPr>
        <w:t>Federal Register</w:t>
      </w:r>
      <w:r w:rsidRPr="00334DF0">
        <w:t xml:space="preserve">, 86 Fed. Reg. 70,487 (Dec. 10, 2021), with interventions and </w:t>
      </w:r>
      <w:r w:rsidR="00420D27">
        <w:t>protests</w:t>
      </w:r>
      <w:r w:rsidRPr="00334DF0">
        <w:t xml:space="preserve"> due on or before December 27, 2021.  Timely motions to intervene were filed by PJM and the IMM.  </w:t>
      </w:r>
      <w:r w:rsidR="00DF7BBB">
        <w:br/>
      </w:r>
      <w:r w:rsidR="00C278E6">
        <w:t xml:space="preserve">No </w:t>
      </w:r>
      <w:r w:rsidR="00420D27">
        <w:t>protests</w:t>
      </w:r>
      <w:r w:rsidR="00C278E6">
        <w:t xml:space="preserve"> were filed.</w:t>
      </w:r>
    </w:p>
    <w:p w14:paraId="29C9A972" w14:textId="77777777" w:rsidR="00206168" w:rsidRPr="00334DF0" w:rsidRDefault="00997494" w:rsidP="005E2DAD">
      <w:pPr>
        <w:pStyle w:val="FERCparanumber"/>
      </w:pPr>
      <w:r w:rsidRPr="00334DF0">
        <w:t xml:space="preserve">Notice of University Park Energy, LLC’s filing was published in the </w:t>
      </w:r>
      <w:r w:rsidRPr="00334DF0">
        <w:rPr>
          <w:i/>
          <w:iCs/>
        </w:rPr>
        <w:t>Federal Register</w:t>
      </w:r>
      <w:r w:rsidRPr="00334DF0">
        <w:t xml:space="preserve">, 86 Fed. Reg. 70,487 (Dec. 10, 2021), with interventions and </w:t>
      </w:r>
      <w:r w:rsidR="00420D27">
        <w:t>protests</w:t>
      </w:r>
      <w:r w:rsidRPr="00334DF0">
        <w:t xml:space="preserve"> due on or before December 27, 2021.  Timely motions to intervene were filed by PJM and the IMM.  </w:t>
      </w:r>
      <w:r w:rsidR="00C278E6">
        <w:t xml:space="preserve">No </w:t>
      </w:r>
      <w:r w:rsidR="00420D27">
        <w:t>protests</w:t>
      </w:r>
      <w:r w:rsidR="00C278E6">
        <w:t xml:space="preserve"> were filed.</w:t>
      </w:r>
    </w:p>
    <w:p w14:paraId="3876560D" w14:textId="77777777" w:rsidR="005F2CCD" w:rsidRPr="005E2DAD" w:rsidRDefault="005F2CCD" w:rsidP="005F2CCD">
      <w:pPr>
        <w:pStyle w:val="FERCparanumber"/>
      </w:pPr>
      <w:r w:rsidRPr="00334DF0">
        <w:t xml:space="preserve">Notice of Energy Center Dover, LLC’s filing was published in the </w:t>
      </w:r>
      <w:r w:rsidRPr="00334DF0">
        <w:rPr>
          <w:i/>
          <w:iCs/>
        </w:rPr>
        <w:t>Federal Register</w:t>
      </w:r>
      <w:r w:rsidRPr="00334DF0">
        <w:t>, 87 Fed. Reg. 8</w:t>
      </w:r>
      <w:r w:rsidR="00E47450">
        <w:t>2</w:t>
      </w:r>
      <w:r w:rsidRPr="00334DF0">
        <w:t xml:space="preserve"> (Jan. 3, 2022), with interventions and </w:t>
      </w:r>
      <w:r w:rsidR="00420D27">
        <w:t>protests</w:t>
      </w:r>
      <w:r w:rsidRPr="00334DF0">
        <w:t xml:space="preserve"> due on or before January 3, 2022.  </w:t>
      </w:r>
      <w:r>
        <w:t xml:space="preserve">IMM filed a timely motion to intervene.  No </w:t>
      </w:r>
      <w:r w:rsidR="00420D27">
        <w:t>protests</w:t>
      </w:r>
      <w:r>
        <w:t xml:space="preserve"> were filed.  </w:t>
      </w:r>
    </w:p>
    <w:p w14:paraId="2ED0102F" w14:textId="77777777" w:rsidR="00FA727F" w:rsidRPr="00FA727F" w:rsidRDefault="00FA727F" w:rsidP="005E2DAD">
      <w:pPr>
        <w:pStyle w:val="Heading1"/>
      </w:pPr>
      <w:r w:rsidRPr="00FA727F">
        <w:t>Discussion</w:t>
      </w:r>
    </w:p>
    <w:p w14:paraId="7F099E48" w14:textId="77777777" w:rsidR="00FA727F" w:rsidRPr="00FA727F" w:rsidRDefault="00FA727F" w:rsidP="005E2DAD">
      <w:pPr>
        <w:pStyle w:val="Heading2"/>
      </w:pPr>
      <w:r w:rsidRPr="00FA727F">
        <w:t>Procedural Matters</w:t>
      </w:r>
    </w:p>
    <w:p w14:paraId="2F0A2DBD" w14:textId="77777777" w:rsidR="00FA727F" w:rsidRPr="00FA727F" w:rsidRDefault="00FA727F" w:rsidP="00FA727F">
      <w:pPr>
        <w:pStyle w:val="FERCparanumber"/>
      </w:pPr>
      <w:r w:rsidRPr="00FA727F">
        <w:t>Pursuant to Rule 214 of the Commission’s Rules of Practice and Procedure,</w:t>
      </w:r>
      <w:r w:rsidRPr="00FA727F">
        <w:rPr>
          <w:b/>
          <w:vertAlign w:val="superscript"/>
        </w:rPr>
        <w:footnoteReference w:id="9"/>
      </w:r>
      <w:r w:rsidRPr="00FA727F">
        <w:t xml:space="preserve"> the timely, unopposed motions to intervene serve to make the entities that filed them parties to </w:t>
      </w:r>
      <w:r w:rsidR="00600C37">
        <w:t>the proceedings in which they sought to intervene.</w:t>
      </w:r>
    </w:p>
    <w:p w14:paraId="34896F9F" w14:textId="77777777" w:rsidR="005E2DAD" w:rsidRPr="000E4D60" w:rsidRDefault="005E2DAD" w:rsidP="000E4D60">
      <w:pPr>
        <w:pStyle w:val="Heading2"/>
        <w:rPr>
          <w:rFonts w:eastAsiaTheme="minorHAnsi"/>
        </w:rPr>
      </w:pPr>
      <w:r>
        <w:rPr>
          <w:rFonts w:eastAsiaTheme="minorHAnsi"/>
        </w:rPr>
        <w:t>Substantive Matters</w:t>
      </w:r>
    </w:p>
    <w:p w14:paraId="178BF6F0" w14:textId="77777777" w:rsidR="003855AC" w:rsidRDefault="000D1AFA" w:rsidP="00ED03FA">
      <w:pPr>
        <w:pStyle w:val="FERCparanumber"/>
      </w:pPr>
      <w:r>
        <w:t>We r</w:t>
      </w:r>
      <w:r w:rsidRPr="000D1AFA">
        <w:t xml:space="preserve">eject the letter agreements because the </w:t>
      </w:r>
      <w:r>
        <w:t>Sellers</w:t>
      </w:r>
      <w:r w:rsidRPr="000D1AFA">
        <w:t xml:space="preserve"> failed to provide the value of their proposed </w:t>
      </w:r>
      <w:r w:rsidR="00095D81">
        <w:t xml:space="preserve">offer </w:t>
      </w:r>
      <w:r w:rsidRPr="000D1AFA">
        <w:t>cap</w:t>
      </w:r>
      <w:r w:rsidR="00361333">
        <w:t>s</w:t>
      </w:r>
      <w:r w:rsidRPr="000D1AFA">
        <w:t xml:space="preserve">.  </w:t>
      </w:r>
      <w:r w:rsidR="00AB5D22">
        <w:t xml:space="preserve">As discussed above, the letter agreements </w:t>
      </w:r>
      <w:r w:rsidR="00641DBE">
        <w:t>state</w:t>
      </w:r>
      <w:r w:rsidR="00295918">
        <w:t xml:space="preserve"> that</w:t>
      </w:r>
      <w:r w:rsidR="00641DBE">
        <w:t xml:space="preserve"> </w:t>
      </w:r>
      <w:r w:rsidR="00AB5D22">
        <w:t xml:space="preserve">the proposed </w:t>
      </w:r>
      <w:r w:rsidR="00095D81">
        <w:t>offer</w:t>
      </w:r>
      <w:r w:rsidR="00AB5D22">
        <w:t xml:space="preserve"> caps</w:t>
      </w:r>
      <w:r w:rsidR="00155DB5">
        <w:t xml:space="preserve"> reflect the </w:t>
      </w:r>
      <w:r w:rsidR="009C36BC">
        <w:t>IMM</w:t>
      </w:r>
      <w:r w:rsidR="00155DB5">
        <w:t xml:space="preserve">’s most </w:t>
      </w:r>
      <w:r w:rsidR="00C444EB">
        <w:t xml:space="preserve">recent </w:t>
      </w:r>
      <w:r w:rsidR="00155DB5">
        <w:t xml:space="preserve">projected net </w:t>
      </w:r>
      <w:r w:rsidR="009C36BC">
        <w:t>E&amp;AS</w:t>
      </w:r>
      <w:r w:rsidR="00155DB5">
        <w:t xml:space="preserve"> revenues</w:t>
      </w:r>
      <w:r w:rsidR="00C444EB">
        <w:t>, issued on November 12, 2021</w:t>
      </w:r>
      <w:r w:rsidR="00AB5D22">
        <w:t xml:space="preserve">, but the </w:t>
      </w:r>
      <w:r w:rsidR="00DE034D">
        <w:t xml:space="preserve">Sellers </w:t>
      </w:r>
      <w:r w:rsidR="00611E9D">
        <w:t>did not provide the value of the</w:t>
      </w:r>
      <w:r w:rsidR="00C444EB">
        <w:t>ir respective</w:t>
      </w:r>
      <w:r w:rsidR="00611E9D">
        <w:t xml:space="preserve"> </w:t>
      </w:r>
      <w:r w:rsidR="00AB5D22">
        <w:t>alternative offer cap</w:t>
      </w:r>
      <w:r w:rsidR="004564E3">
        <w:t>s</w:t>
      </w:r>
      <w:r w:rsidR="00AB5D22">
        <w:t xml:space="preserve">.  </w:t>
      </w:r>
      <w:r w:rsidR="00611E9D">
        <w:t xml:space="preserve">Therefore, the letter agreements do not comply with the </w:t>
      </w:r>
      <w:r w:rsidR="009E288B">
        <w:t xml:space="preserve">Tariff </w:t>
      </w:r>
    </w:p>
    <w:p w14:paraId="6F8D164C" w14:textId="77777777" w:rsidR="003855AC" w:rsidRDefault="003855AC">
      <w:pPr>
        <w:widowControl/>
        <w:spacing w:after="160" w:line="259" w:lineRule="auto"/>
      </w:pPr>
      <w:r>
        <w:br w:type="page"/>
      </w:r>
    </w:p>
    <w:p w14:paraId="129D5BE5" w14:textId="77777777" w:rsidR="00ED03FA" w:rsidRPr="005E2DAD" w:rsidRDefault="00611E9D" w:rsidP="00DF673F">
      <w:pPr>
        <w:pStyle w:val="FERCparanumber"/>
        <w:numPr>
          <w:ilvl w:val="0"/>
          <w:numId w:val="0"/>
        </w:numPr>
      </w:pPr>
      <w:r>
        <w:lastRenderedPageBreak/>
        <w:t>requirement that “[a]</w:t>
      </w:r>
      <w:r w:rsidRPr="00611E9D">
        <w:t>ny such alternative offer cap shall be filed with the Commission for its approval</w:t>
      </w:r>
      <w:r>
        <w:t>.”</w:t>
      </w:r>
      <w:r w:rsidR="006B1950">
        <w:rPr>
          <w:rStyle w:val="FootnoteReference"/>
        </w:rPr>
        <w:footnoteReference w:id="10"/>
      </w:r>
      <w:r w:rsidRPr="00611E9D">
        <w:t xml:space="preserve"> </w:t>
      </w:r>
      <w:r>
        <w:t xml:space="preserve"> </w:t>
      </w:r>
      <w:r w:rsidR="000D1AFA">
        <w:t>We</w:t>
      </w:r>
      <w:r w:rsidR="000D1AFA" w:rsidRPr="000D1AFA">
        <w:t xml:space="preserve"> find that</w:t>
      </w:r>
      <w:r>
        <w:t>,</w:t>
      </w:r>
      <w:r w:rsidR="000D1AFA" w:rsidRPr="000D1AFA">
        <w:t xml:space="preserve"> when filing these letter agreements, it is insufficient to </w:t>
      </w:r>
      <w:r w:rsidR="00AC63F5">
        <w:t xml:space="preserve">merely </w:t>
      </w:r>
      <w:r w:rsidR="000D1AFA" w:rsidRPr="000D1AFA">
        <w:t xml:space="preserve">reference </w:t>
      </w:r>
      <w:r w:rsidR="00AC63F5">
        <w:t xml:space="preserve">the existence of </w:t>
      </w:r>
      <w:r w:rsidR="000D1AFA" w:rsidRPr="000D1AFA">
        <w:t xml:space="preserve">a non-public offer cap posted by the </w:t>
      </w:r>
      <w:r w:rsidR="00D45A54">
        <w:t>IMM</w:t>
      </w:r>
      <w:r w:rsidR="000D1AFA" w:rsidRPr="000D1AFA">
        <w:t xml:space="preserve">.  </w:t>
      </w:r>
      <w:r w:rsidR="00DE034D">
        <w:t>W</w:t>
      </w:r>
      <w:r w:rsidR="004D0ACC">
        <w:t>e</w:t>
      </w:r>
      <w:r w:rsidR="000D1AFA" w:rsidRPr="000D1AFA">
        <w:t xml:space="preserve"> cannot </w:t>
      </w:r>
      <w:r w:rsidR="00743AF9">
        <w:t>evaluate</w:t>
      </w:r>
      <w:r w:rsidR="00743AF9" w:rsidRPr="000D1AFA">
        <w:t xml:space="preserve"> </w:t>
      </w:r>
      <w:r w:rsidR="000D1AFA" w:rsidRPr="000D1AFA">
        <w:t xml:space="preserve">an offer cap value that is not before </w:t>
      </w:r>
      <w:r w:rsidR="00D45A54">
        <w:t>us</w:t>
      </w:r>
      <w:r w:rsidR="000D1AFA" w:rsidRPr="000D1AFA">
        <w:t>.</w:t>
      </w:r>
      <w:r w:rsidR="00BE54EE">
        <w:rPr>
          <w:rStyle w:val="FootnoteReference"/>
        </w:rPr>
        <w:footnoteReference w:id="11"/>
      </w:r>
      <w:r w:rsidR="000D1AFA" w:rsidRPr="000D1AFA">
        <w:t xml:space="preserve">  </w:t>
      </w:r>
    </w:p>
    <w:p w14:paraId="39DB2474" w14:textId="77777777" w:rsidR="00FA727F" w:rsidRPr="00FA727F" w:rsidRDefault="00FA727F" w:rsidP="00D41043">
      <w:pPr>
        <w:pStyle w:val="Heading1"/>
        <w:rPr>
          <w:rFonts w:eastAsiaTheme="minorHAnsi"/>
        </w:rPr>
      </w:pPr>
      <w:r>
        <w:rPr>
          <w:rFonts w:eastAsiaTheme="minorHAnsi"/>
        </w:rPr>
        <w:t>Show Cause Proceeding</w:t>
      </w:r>
    </w:p>
    <w:p w14:paraId="27123BD3" w14:textId="77777777" w:rsidR="005A5866" w:rsidRDefault="00DC14AA" w:rsidP="00DC14AA">
      <w:pPr>
        <w:pStyle w:val="FERCparanumber"/>
      </w:pPr>
      <w:r>
        <w:t>These filings raise questions regarding the Alternative Offer Cap Provisions.</w:t>
      </w:r>
      <w:r>
        <w:rPr>
          <w:rStyle w:val="FootnoteReference"/>
        </w:rPr>
        <w:footnoteReference w:id="12"/>
      </w:r>
      <w:r>
        <w:t xml:space="preserve">  </w:t>
      </w:r>
      <w:r w:rsidR="00DF673F">
        <w:br/>
      </w:r>
      <w:r>
        <w:t xml:space="preserve">As discussed below, we are concerned that these provisions may no longer be just </w:t>
      </w:r>
      <w:r w:rsidR="005A5866">
        <w:br/>
      </w:r>
      <w:r>
        <w:t>and reasonable</w:t>
      </w:r>
      <w:r w:rsidRPr="00BF4F92">
        <w:t>.</w:t>
      </w:r>
      <w:r>
        <w:t xml:space="preserve">  We therefore institute a proceeding in </w:t>
      </w:r>
      <w:r w:rsidRPr="00D6354D">
        <w:t>Docket No. EL22-</w:t>
      </w:r>
      <w:r>
        <w:t>22</w:t>
      </w:r>
      <w:r w:rsidRPr="00D6354D">
        <w:t>-000</w:t>
      </w:r>
      <w:r>
        <w:t xml:space="preserve"> to investigate the lawfulness of the Alternative Offer Cap Provisions.</w:t>
      </w:r>
    </w:p>
    <w:p w14:paraId="018DE4A6" w14:textId="77777777" w:rsidR="005A5866" w:rsidRDefault="005A5866">
      <w:pPr>
        <w:widowControl/>
        <w:spacing w:after="160" w:line="259" w:lineRule="auto"/>
      </w:pPr>
      <w:r>
        <w:br w:type="page"/>
      </w:r>
    </w:p>
    <w:p w14:paraId="3B89635C" w14:textId="77777777" w:rsidR="009C36BC" w:rsidRDefault="009C36BC" w:rsidP="009C36BC">
      <w:pPr>
        <w:pStyle w:val="FERCparanumber"/>
      </w:pPr>
      <w:r>
        <w:lastRenderedPageBreak/>
        <w:t>As an initial matter, t</w:t>
      </w:r>
      <w:r w:rsidRPr="00BF4F92">
        <w:t xml:space="preserve">he </w:t>
      </w:r>
      <w:r>
        <w:t xml:space="preserve">Alternative Offer Cap Provisions </w:t>
      </w:r>
      <w:r w:rsidRPr="00BF4F92">
        <w:t>at issue here appear to be unnecessary</w:t>
      </w:r>
      <w:r>
        <w:t xml:space="preserve">.  The Tariff </w:t>
      </w:r>
      <w:r w:rsidR="003E4F63">
        <w:t>currently</w:t>
      </w:r>
      <w:r w:rsidR="003E4F63" w:rsidRPr="00BF4F92">
        <w:t xml:space="preserve"> </w:t>
      </w:r>
      <w:r w:rsidRPr="00BF4F92">
        <w:t xml:space="preserve">provides </w:t>
      </w:r>
      <w:r>
        <w:t xml:space="preserve">sellers </w:t>
      </w:r>
      <w:r w:rsidRPr="00BF4F92">
        <w:t xml:space="preserve">the flexibility to negotiate unit-specific offer </w:t>
      </w:r>
      <w:r>
        <w:t>caps</w:t>
      </w:r>
      <w:r w:rsidRPr="00BF4F92">
        <w:t xml:space="preserve"> with </w:t>
      </w:r>
      <w:r>
        <w:t>the IMM</w:t>
      </w:r>
      <w:r w:rsidRPr="00BF4F92">
        <w:t xml:space="preserve"> and PJM</w:t>
      </w:r>
      <w:r>
        <w:t xml:space="preserve"> elsewhere in Attachment DD, section 6.4.</w:t>
      </w:r>
      <w:r w:rsidR="00C935B5">
        <w:rPr>
          <w:rStyle w:val="FootnoteReference"/>
        </w:rPr>
        <w:footnoteReference w:id="13"/>
      </w:r>
      <w:r w:rsidRPr="00BF4F92">
        <w:t xml:space="preserve">  It is unclear why </w:t>
      </w:r>
      <w:r>
        <w:t>the</w:t>
      </w:r>
      <w:r w:rsidRPr="00BF4F92">
        <w:t xml:space="preserve"> </w:t>
      </w:r>
      <w:r>
        <w:t xml:space="preserve">Alternative Offer Cap Provisions, which </w:t>
      </w:r>
      <w:r w:rsidR="003E4F63">
        <w:t xml:space="preserve">appear to </w:t>
      </w:r>
      <w:r w:rsidRPr="00BF4F92">
        <w:t xml:space="preserve">offer </w:t>
      </w:r>
      <w:r w:rsidR="001B08E3">
        <w:t>greater</w:t>
      </w:r>
      <w:r w:rsidRPr="00BF4F92">
        <w:t xml:space="preserve"> flexibility in a separate process</w:t>
      </w:r>
      <w:r>
        <w:t>,</w:t>
      </w:r>
      <w:r w:rsidRPr="00BF4F92">
        <w:t xml:space="preserve"> </w:t>
      </w:r>
      <w:r>
        <w:t>are</w:t>
      </w:r>
      <w:r w:rsidRPr="00BF4F92">
        <w:t xml:space="preserve"> necessary</w:t>
      </w:r>
      <w:r>
        <w:t xml:space="preserve">.  Accordingly, we preliminarily find that the following sentences should be removed from Attachment DD, section 6.4(a):  </w:t>
      </w:r>
    </w:p>
    <w:p w14:paraId="20B59CF6" w14:textId="77777777" w:rsidR="009C36BC" w:rsidRDefault="009C36BC" w:rsidP="003C0F10">
      <w:pPr>
        <w:pStyle w:val="BlockIndent"/>
      </w:pPr>
      <w:r w:rsidRPr="00310CB5">
        <w:t xml:space="preserve">Nothing herein shall preclude any Capacity Market Seller and the Market Monitoring Unit from agreeing to, nor require either such entity to agree to, an alternative market seller offer cap determined on a mutually agreeable basis. </w:t>
      </w:r>
      <w:r>
        <w:t xml:space="preserve"> </w:t>
      </w:r>
      <w:r w:rsidRPr="00310CB5">
        <w:t>Any such alternative offer cap shall be filed with the Commission for its approval.</w:t>
      </w:r>
      <w:r w:rsidRPr="00527809">
        <w:rPr>
          <w:b/>
          <w:vertAlign w:val="superscript"/>
        </w:rPr>
        <w:t xml:space="preserve"> </w:t>
      </w:r>
      <w:r w:rsidRPr="0003051B">
        <w:t xml:space="preserve"> </w:t>
      </w:r>
      <w:r>
        <w:t xml:space="preserve"> </w:t>
      </w:r>
    </w:p>
    <w:p w14:paraId="725354D1" w14:textId="77777777" w:rsidR="009C36BC" w:rsidRPr="005E2DAD" w:rsidRDefault="009C36BC" w:rsidP="009C36BC">
      <w:pPr>
        <w:pStyle w:val="FERCparanumber"/>
        <w:numPr>
          <w:ilvl w:val="0"/>
          <w:numId w:val="0"/>
        </w:numPr>
      </w:pPr>
      <w:r>
        <w:rPr>
          <w:bCs/>
        </w:rPr>
        <w:t xml:space="preserve">Similarly, we preliminarily find that </w:t>
      </w:r>
      <w:r w:rsidR="006D2A31">
        <w:rPr>
          <w:bCs/>
        </w:rPr>
        <w:t xml:space="preserve">the </w:t>
      </w:r>
      <w:r>
        <w:rPr>
          <w:bCs/>
        </w:rPr>
        <w:t xml:space="preserve">duplicative language in </w:t>
      </w:r>
      <w:r w:rsidR="00B23E30">
        <w:t>a</w:t>
      </w:r>
      <w:r w:rsidRPr="00600322">
        <w:t>ttach</w:t>
      </w:r>
      <w:r w:rsidR="00B23E30">
        <w:t>.</w:t>
      </w:r>
      <w:r w:rsidRPr="00600322">
        <w:t xml:space="preserve"> M-</w:t>
      </w:r>
      <w:r w:rsidR="00B23E30">
        <w:t>a</w:t>
      </w:r>
      <w:r w:rsidRPr="00600322">
        <w:t>pp</w:t>
      </w:r>
      <w:r w:rsidR="00B23E30">
        <w:t>.</w:t>
      </w:r>
      <w:r w:rsidRPr="00600322">
        <w:t xml:space="preserve">, </w:t>
      </w:r>
      <w:r w:rsidR="00B23E30">
        <w:t xml:space="preserve">     </w:t>
      </w:r>
      <w:r w:rsidRPr="00600322">
        <w:t>section II.E.3</w:t>
      </w:r>
      <w:r>
        <w:t xml:space="preserve"> should be deleted, as well.</w:t>
      </w:r>
    </w:p>
    <w:p w14:paraId="01E9D2C3" w14:textId="77777777" w:rsidR="008E0278" w:rsidRDefault="00692492" w:rsidP="00FA727F">
      <w:pPr>
        <w:pStyle w:val="FERCparanumber"/>
      </w:pPr>
      <w:r>
        <w:t>In addition</w:t>
      </w:r>
      <w:r w:rsidR="00C66AB0">
        <w:t xml:space="preserve">, we find that the </w:t>
      </w:r>
      <w:r w:rsidR="006F602D">
        <w:t>Alternative Offer Cap Provisions</w:t>
      </w:r>
      <w:r w:rsidR="0094264F">
        <w:t xml:space="preserve"> appear to</w:t>
      </w:r>
      <w:r w:rsidR="00C66AB0">
        <w:t xml:space="preserve"> be unjust and unreasonable because </w:t>
      </w:r>
      <w:r w:rsidR="00600322">
        <w:t>they</w:t>
      </w:r>
      <w:r w:rsidR="008E0278">
        <w:t xml:space="preserve"> </w:t>
      </w:r>
      <w:r w:rsidR="00600322">
        <w:t>require</w:t>
      </w:r>
      <w:r w:rsidR="00E95D4B">
        <w:t xml:space="preserve"> only that the </w:t>
      </w:r>
      <w:r w:rsidR="006F602D">
        <w:t xml:space="preserve">individual </w:t>
      </w:r>
      <w:r w:rsidR="00E95D4B">
        <w:t>seller and IMM agree to the alternative offer cap</w:t>
      </w:r>
      <w:r w:rsidR="003E4F63">
        <w:t>,</w:t>
      </w:r>
      <w:r w:rsidR="00E95D4B">
        <w:t xml:space="preserve"> but do not require that the </w:t>
      </w:r>
      <w:r w:rsidR="00C8602D">
        <w:t xml:space="preserve">alternative offer </w:t>
      </w:r>
      <w:r w:rsidR="00E95D4B">
        <w:t xml:space="preserve">cap be </w:t>
      </w:r>
      <w:r w:rsidR="00266C7F">
        <w:t xml:space="preserve">determined in a manner that is </w:t>
      </w:r>
      <w:r w:rsidR="00E95D4B">
        <w:t xml:space="preserve">consistent with </w:t>
      </w:r>
      <w:r w:rsidR="00266C7F">
        <w:t xml:space="preserve">how other resources’ offer caps are determined under </w:t>
      </w:r>
      <w:r w:rsidR="00E95D4B">
        <w:t xml:space="preserve">the Tariff.  This would appear to allow, for example, a seller and the IMM to agree </w:t>
      </w:r>
      <w:r w:rsidR="006F602D">
        <w:t>to</w:t>
      </w:r>
      <w:r w:rsidR="00E95D4B">
        <w:t xml:space="preserve"> an</w:t>
      </w:r>
      <w:r w:rsidR="006F602D">
        <w:t xml:space="preserve"> alternative</w:t>
      </w:r>
      <w:r w:rsidR="00E95D4B">
        <w:t xml:space="preserve"> offer cap </w:t>
      </w:r>
      <w:r w:rsidR="00DB6B4D">
        <w:t>that i</w:t>
      </w:r>
      <w:r w:rsidR="00E95D4B">
        <w:t>s based on a methodology other tha</w:t>
      </w:r>
      <w:r w:rsidR="008E0278">
        <w:t xml:space="preserve">n </w:t>
      </w:r>
      <w:r w:rsidR="00266C7F">
        <w:t xml:space="preserve">the methodology </w:t>
      </w:r>
      <w:r w:rsidR="008E0278">
        <w:t xml:space="preserve">defined </w:t>
      </w:r>
      <w:r w:rsidR="00266C7F">
        <w:t>elsewhere</w:t>
      </w:r>
      <w:r w:rsidR="008E0278">
        <w:t xml:space="preserve"> in the Tariff.</w:t>
      </w:r>
      <w:r w:rsidR="00BC5FFE">
        <w:t xml:space="preserve">  Such an outcome</w:t>
      </w:r>
      <w:r w:rsidR="0094264F">
        <w:t xml:space="preserve"> </w:t>
      </w:r>
      <w:r w:rsidR="00266C7F">
        <w:t xml:space="preserve">may result in insufficient mitigation and therefore </w:t>
      </w:r>
      <w:r w:rsidR="0094264F">
        <w:t>appears to be</w:t>
      </w:r>
      <w:r w:rsidR="00BC5FFE">
        <w:t xml:space="preserve"> unjust and unreasonable.</w:t>
      </w:r>
    </w:p>
    <w:p w14:paraId="024727A2" w14:textId="77777777" w:rsidR="005A5866" w:rsidRDefault="00FA6654" w:rsidP="00FA727F">
      <w:pPr>
        <w:pStyle w:val="FERCparanumber"/>
      </w:pPr>
      <w:r>
        <w:t>W</w:t>
      </w:r>
      <w:r w:rsidR="008E0278">
        <w:t xml:space="preserve">e </w:t>
      </w:r>
      <w:r>
        <w:t>also</w:t>
      </w:r>
      <w:r w:rsidR="008E0278">
        <w:t xml:space="preserve"> find that </w:t>
      </w:r>
      <w:r w:rsidR="006F602D">
        <w:t>the Alternative Offer Cap Provisions</w:t>
      </w:r>
      <w:r w:rsidR="008E0278">
        <w:t xml:space="preserve"> may be unjust and unreasonable because</w:t>
      </w:r>
      <w:r w:rsidR="008E0278" w:rsidRPr="00BF4F92">
        <w:t xml:space="preserve"> </w:t>
      </w:r>
      <w:r w:rsidR="00600322">
        <w:t>they</w:t>
      </w:r>
      <w:r w:rsidR="00180BF3">
        <w:t xml:space="preserve"> </w:t>
      </w:r>
      <w:r w:rsidR="008E0278" w:rsidRPr="00BF4F92">
        <w:t xml:space="preserve">do not set forth </w:t>
      </w:r>
      <w:r w:rsidR="00BC2A78">
        <w:t>any</w:t>
      </w:r>
      <w:r w:rsidR="008E0278" w:rsidRPr="00BF4F92">
        <w:t xml:space="preserve"> criteria by which the alternative offer</w:t>
      </w:r>
      <w:r w:rsidR="00290912">
        <w:t xml:space="preserve"> </w:t>
      </w:r>
      <w:r w:rsidR="0003051B">
        <w:t xml:space="preserve">cap </w:t>
      </w:r>
      <w:r w:rsidR="00290912">
        <w:t>should be evaluated</w:t>
      </w:r>
      <w:r w:rsidR="009D4A37">
        <w:t xml:space="preserve"> by the Commission</w:t>
      </w:r>
      <w:r w:rsidR="00BC2A78">
        <w:t xml:space="preserve"> beyond </w:t>
      </w:r>
      <w:r w:rsidR="006F602D">
        <w:t xml:space="preserve">mere </w:t>
      </w:r>
      <w:r w:rsidR="00BC2A78">
        <w:t xml:space="preserve">agreement between </w:t>
      </w:r>
      <w:r w:rsidR="006F602D">
        <w:t>a</w:t>
      </w:r>
      <w:r w:rsidR="00BC2A78">
        <w:t xml:space="preserve"> seller and the IMM</w:t>
      </w:r>
      <w:r w:rsidR="00290912">
        <w:t xml:space="preserve">.  </w:t>
      </w:r>
      <w:r w:rsidR="00673C3C">
        <w:t xml:space="preserve">Finally, </w:t>
      </w:r>
      <w:r w:rsidR="009D4A37">
        <w:t>t</w:t>
      </w:r>
      <w:r w:rsidR="00290912">
        <w:t xml:space="preserve">he Tariff does not contain any requirements </w:t>
      </w:r>
      <w:r w:rsidR="00505E9F">
        <w:t xml:space="preserve">or deadlines </w:t>
      </w:r>
      <w:r w:rsidR="00290912">
        <w:t xml:space="preserve">for </w:t>
      </w:r>
      <w:r w:rsidR="006F602D">
        <w:t>such</w:t>
      </w:r>
      <w:r w:rsidR="00290912">
        <w:t xml:space="preserve"> filings, beyond that they include </w:t>
      </w:r>
      <w:r w:rsidR="000B47E4">
        <w:t>“such</w:t>
      </w:r>
      <w:r w:rsidR="00290912">
        <w:t xml:space="preserve"> alternative offer cap</w:t>
      </w:r>
      <w:r w:rsidR="000B47E4">
        <w:t>”</w:t>
      </w:r>
      <w:r w:rsidR="00290912">
        <w:t xml:space="preserve"> </w:t>
      </w:r>
      <w:r w:rsidR="006F602D">
        <w:t>and that they be “approve[d]” by the Commission.</w:t>
      </w:r>
      <w:r w:rsidR="00290912">
        <w:t xml:space="preserve">  </w:t>
      </w:r>
      <w:r w:rsidR="00DA5F50">
        <w:t xml:space="preserve">As a result, there is significant ambiguity in how and when alternative offer caps should be filed, </w:t>
      </w:r>
      <w:r w:rsidR="00590CD1">
        <w:t>which may create uncertainty in the auction process and timing</w:t>
      </w:r>
      <w:r w:rsidR="00EF582B">
        <w:t>.</w:t>
      </w:r>
    </w:p>
    <w:p w14:paraId="7EC82C72" w14:textId="77777777" w:rsidR="005A5866" w:rsidRDefault="005A5866">
      <w:pPr>
        <w:widowControl/>
        <w:spacing w:after="160" w:line="259" w:lineRule="auto"/>
      </w:pPr>
      <w:r>
        <w:br w:type="page"/>
      </w:r>
    </w:p>
    <w:p w14:paraId="605E03E6" w14:textId="77777777" w:rsidR="00C143AB" w:rsidRPr="00C143AB" w:rsidRDefault="00083240" w:rsidP="00FA727F">
      <w:pPr>
        <w:pStyle w:val="FERCparanumber"/>
      </w:pPr>
      <w:r>
        <w:rPr>
          <w:rFonts w:eastAsia="Times New Roman"/>
          <w:color w:val="212121"/>
          <w:szCs w:val="26"/>
        </w:rPr>
        <w:lastRenderedPageBreak/>
        <w:t xml:space="preserve">Based on the foregoing, we </w:t>
      </w:r>
      <w:r w:rsidR="007E068C" w:rsidRPr="004411EA">
        <w:rPr>
          <w:rFonts w:eastAsia="Times New Roman"/>
          <w:color w:val="212121"/>
          <w:szCs w:val="26"/>
        </w:rPr>
        <w:t>p</w:t>
      </w:r>
      <w:r w:rsidR="007E068C" w:rsidRPr="00A72025">
        <w:rPr>
          <w:rFonts w:eastAsia="Times New Roman"/>
          <w:color w:val="212121"/>
          <w:szCs w:val="26"/>
        </w:rPr>
        <w:t xml:space="preserve">reliminarily </w:t>
      </w:r>
      <w:r>
        <w:rPr>
          <w:rFonts w:eastAsia="Times New Roman"/>
          <w:color w:val="212121"/>
          <w:szCs w:val="26"/>
        </w:rPr>
        <w:t xml:space="preserve">find that </w:t>
      </w:r>
      <w:r w:rsidR="003700D1">
        <w:t>the Alternative Offer Cap Provisions</w:t>
      </w:r>
      <w:r w:rsidR="003700D1">
        <w:rPr>
          <w:rFonts w:eastAsia="Times New Roman"/>
          <w:color w:val="212121"/>
          <w:szCs w:val="26"/>
        </w:rPr>
        <w:t xml:space="preserve"> </w:t>
      </w:r>
      <w:r>
        <w:rPr>
          <w:rFonts w:eastAsia="Times New Roman"/>
          <w:color w:val="212121"/>
          <w:szCs w:val="26"/>
        </w:rPr>
        <w:t xml:space="preserve">may be unjust and unreasonable.  </w:t>
      </w:r>
      <w:r w:rsidR="00B45443">
        <w:rPr>
          <w:rFonts w:eastAsia="Times New Roman"/>
          <w:color w:val="212121"/>
          <w:szCs w:val="26"/>
        </w:rPr>
        <w:t xml:space="preserve">Accordingly, </w:t>
      </w:r>
      <w:r w:rsidR="005C7A16" w:rsidRPr="005C7A16">
        <w:rPr>
          <w:rFonts w:eastAsia="Times New Roman"/>
          <w:color w:val="212121"/>
          <w:szCs w:val="26"/>
        </w:rPr>
        <w:t xml:space="preserve">pursuant to section </w:t>
      </w:r>
      <w:r w:rsidR="00FA727F" w:rsidRPr="0020583D">
        <w:rPr>
          <w:rFonts w:eastAsia="Times New Roman"/>
          <w:color w:val="212121"/>
          <w:szCs w:val="26"/>
        </w:rPr>
        <w:t>206</w:t>
      </w:r>
      <w:r w:rsidR="005C7A16" w:rsidRPr="005C7A16">
        <w:rPr>
          <w:rFonts w:eastAsia="Times New Roman"/>
          <w:color w:val="212121"/>
          <w:szCs w:val="26"/>
        </w:rPr>
        <w:t xml:space="preserve"> of the FPA</w:t>
      </w:r>
      <w:r w:rsidR="005C7A16" w:rsidRPr="005C7A16">
        <w:rPr>
          <w:rFonts w:eastAsia="Times New Roman"/>
          <w:b/>
          <w:color w:val="212121"/>
          <w:szCs w:val="26"/>
          <w:vertAlign w:val="superscript"/>
        </w:rPr>
        <w:footnoteReference w:id="14"/>
      </w:r>
      <w:r w:rsidR="005C7A16" w:rsidRPr="005C7A16">
        <w:rPr>
          <w:rFonts w:eastAsia="Times New Roman"/>
          <w:color w:val="212121"/>
          <w:szCs w:val="26"/>
        </w:rPr>
        <w:t xml:space="preserve"> and Rule 209(a)</w:t>
      </w:r>
      <w:r w:rsidR="00200EF9">
        <w:rPr>
          <w:rFonts w:eastAsia="Times New Roman"/>
          <w:color w:val="212121"/>
          <w:szCs w:val="26"/>
        </w:rPr>
        <w:t xml:space="preserve"> </w:t>
      </w:r>
      <w:r w:rsidR="005C7A16" w:rsidRPr="005C7A16">
        <w:rPr>
          <w:rFonts w:eastAsia="Times New Roman"/>
          <w:color w:val="212121"/>
          <w:szCs w:val="26"/>
        </w:rPr>
        <w:t>of the Commission’s Rules of Practice and Procedure,</w:t>
      </w:r>
      <w:r w:rsidR="005C7A16" w:rsidRPr="005C7A16">
        <w:rPr>
          <w:rFonts w:eastAsia="Times New Roman"/>
          <w:b/>
          <w:color w:val="212121"/>
          <w:szCs w:val="26"/>
          <w:vertAlign w:val="superscript"/>
        </w:rPr>
        <w:footnoteReference w:id="15"/>
      </w:r>
      <w:r w:rsidR="00FA727F" w:rsidRPr="0020583D">
        <w:rPr>
          <w:rFonts w:eastAsia="Times New Roman"/>
          <w:color w:val="212121"/>
          <w:szCs w:val="26"/>
        </w:rPr>
        <w:t xml:space="preserve"> we direct PJM within </w:t>
      </w:r>
      <w:r w:rsidR="00B45443" w:rsidRPr="005A1922">
        <w:rPr>
          <w:rFonts w:eastAsia="Times New Roman"/>
          <w:color w:val="212121"/>
          <w:szCs w:val="26"/>
        </w:rPr>
        <w:t>60</w:t>
      </w:r>
      <w:r w:rsidR="00FA727F" w:rsidRPr="005A1922">
        <w:rPr>
          <w:rFonts w:eastAsia="Times New Roman"/>
          <w:color w:val="212121"/>
          <w:szCs w:val="26"/>
        </w:rPr>
        <w:t xml:space="preserve"> days</w:t>
      </w:r>
      <w:r w:rsidR="00FA727F" w:rsidRPr="0020583D">
        <w:rPr>
          <w:rFonts w:eastAsia="Times New Roman"/>
          <w:color w:val="212121"/>
          <w:szCs w:val="26"/>
        </w:rPr>
        <w:t xml:space="preserve"> of the date of this order either:</w:t>
      </w:r>
      <w:r w:rsidR="00FA727F">
        <w:rPr>
          <w:rFonts w:eastAsia="Times New Roman"/>
          <w:color w:val="212121"/>
          <w:szCs w:val="26"/>
        </w:rPr>
        <w:t xml:space="preserve">  </w:t>
      </w:r>
      <w:r w:rsidR="00FA727F" w:rsidRPr="0020583D">
        <w:rPr>
          <w:rFonts w:eastAsia="Times New Roman"/>
          <w:color w:val="212121"/>
          <w:szCs w:val="26"/>
        </w:rPr>
        <w:t>(1) to show cause as to why its Tariff</w:t>
      </w:r>
      <w:r w:rsidR="004411EA" w:rsidRPr="00A72025">
        <w:rPr>
          <w:rFonts w:eastAsia="Times New Roman"/>
          <w:color w:val="212121"/>
          <w:szCs w:val="26"/>
        </w:rPr>
        <w:t>,</w:t>
      </w:r>
      <w:r w:rsidR="004411EA" w:rsidRPr="004411EA">
        <w:rPr>
          <w:rFonts w:eastAsia="Times New Roman"/>
          <w:color w:val="212121"/>
          <w:szCs w:val="26"/>
        </w:rPr>
        <w:t xml:space="preserve"> with the</w:t>
      </w:r>
      <w:r w:rsidR="004411EA" w:rsidRPr="004411EA">
        <w:t xml:space="preserve"> </w:t>
      </w:r>
      <w:r w:rsidR="004411EA">
        <w:t>Alternative Offer Cap Provisions,</w:t>
      </w:r>
      <w:r w:rsidR="00FA727F" w:rsidRPr="0020583D">
        <w:rPr>
          <w:rFonts w:eastAsia="Times New Roman"/>
          <w:color w:val="212121"/>
          <w:szCs w:val="26"/>
        </w:rPr>
        <w:t xml:space="preserve"> remains just and reasonable and not unduly discriminatory or preferential; or (2) to explain what changes to its Tariff it believes would remedy the identified concerns if the Commission were to determine that the Tariff</w:t>
      </w:r>
      <w:r w:rsidR="004411EA" w:rsidRPr="00A72025">
        <w:rPr>
          <w:rFonts w:eastAsia="Times New Roman"/>
          <w:color w:val="212121"/>
          <w:szCs w:val="26"/>
        </w:rPr>
        <w:t>,</w:t>
      </w:r>
      <w:r w:rsidR="004411EA" w:rsidRPr="004411EA">
        <w:rPr>
          <w:rFonts w:eastAsia="Times New Roman"/>
          <w:color w:val="212121"/>
          <w:szCs w:val="26"/>
        </w:rPr>
        <w:t xml:space="preserve"> with the</w:t>
      </w:r>
      <w:r w:rsidR="004411EA" w:rsidRPr="004411EA">
        <w:t xml:space="preserve"> </w:t>
      </w:r>
      <w:r w:rsidR="004411EA">
        <w:t>Alternative Offer Cap Provisions,</w:t>
      </w:r>
      <w:r w:rsidR="00FA727F" w:rsidRPr="0020583D">
        <w:rPr>
          <w:rFonts w:eastAsia="Times New Roman"/>
          <w:color w:val="212121"/>
          <w:szCs w:val="26"/>
        </w:rPr>
        <w:t xml:space="preserve"> has</w:t>
      </w:r>
      <w:r w:rsidR="004411EA" w:rsidRPr="004411EA">
        <w:rPr>
          <w:rFonts w:eastAsia="Times New Roman"/>
          <w:color w:val="212121"/>
          <w:szCs w:val="26"/>
        </w:rPr>
        <w:t>,</w:t>
      </w:r>
      <w:r w:rsidR="00FA727F" w:rsidRPr="0020583D">
        <w:rPr>
          <w:rFonts w:eastAsia="Times New Roman"/>
          <w:color w:val="212121"/>
          <w:szCs w:val="26"/>
        </w:rPr>
        <w:t xml:space="preserve"> in fact</w:t>
      </w:r>
      <w:r w:rsidR="004411EA" w:rsidRPr="004411EA">
        <w:rPr>
          <w:rFonts w:eastAsia="Times New Roman"/>
          <w:color w:val="212121"/>
          <w:szCs w:val="26"/>
        </w:rPr>
        <w:t>,</w:t>
      </w:r>
      <w:r w:rsidR="00FA727F" w:rsidRPr="0020583D">
        <w:rPr>
          <w:rFonts w:eastAsia="Times New Roman"/>
          <w:color w:val="212121"/>
          <w:szCs w:val="26"/>
        </w:rPr>
        <w:t xml:space="preserve"> become unjust and unreasonable or unduly discriminatory or preferential and, therefore, proceeds to </w:t>
      </w:r>
      <w:r w:rsidR="004411EA" w:rsidRPr="004411EA">
        <w:rPr>
          <w:rFonts w:eastAsia="Times New Roman"/>
          <w:color w:val="212121"/>
          <w:szCs w:val="26"/>
        </w:rPr>
        <w:t>order appropriate revisions</w:t>
      </w:r>
      <w:r w:rsidR="00FA727F" w:rsidRPr="0020583D">
        <w:rPr>
          <w:rFonts w:eastAsia="Times New Roman"/>
          <w:color w:val="212121"/>
          <w:szCs w:val="26"/>
        </w:rPr>
        <w:t>.</w:t>
      </w:r>
      <w:r w:rsidR="00FA727F" w:rsidRPr="004411EA" w:rsidDel="00152FD7">
        <w:rPr>
          <w:rFonts w:eastAsia="Times New Roman"/>
          <w:color w:val="212121"/>
          <w:szCs w:val="26"/>
        </w:rPr>
        <w:t xml:space="preserve"> </w:t>
      </w:r>
      <w:r w:rsidR="004411EA" w:rsidRPr="004411EA">
        <w:rPr>
          <w:rFonts w:eastAsia="Times New Roman"/>
          <w:color w:val="212121"/>
          <w:szCs w:val="26"/>
        </w:rPr>
        <w:t xml:space="preserve"> </w:t>
      </w:r>
    </w:p>
    <w:p w14:paraId="11C875E2" w14:textId="77777777" w:rsidR="00C143AB" w:rsidRDefault="00FA727F" w:rsidP="00AC4A42">
      <w:pPr>
        <w:pStyle w:val="FERCparanumber"/>
      </w:pPr>
      <w:r w:rsidRPr="00BD64E9">
        <w:t xml:space="preserve">Interested </w:t>
      </w:r>
      <w:r w:rsidRPr="00BD64E9" w:rsidDel="008D4D00">
        <w:t>entities</w:t>
      </w:r>
      <w:r w:rsidRPr="00BD64E9">
        <w:t xml:space="preserve"> may respond within </w:t>
      </w:r>
      <w:r w:rsidRPr="005A1922">
        <w:t>30 days</w:t>
      </w:r>
      <w:r w:rsidRPr="00BD64E9">
        <w:t xml:space="preserve"> of </w:t>
      </w:r>
      <w:r>
        <w:t xml:space="preserve">PJM’s </w:t>
      </w:r>
      <w:r w:rsidRPr="00BD64E9">
        <w:t>filing, addressing either or both:</w:t>
      </w:r>
      <w:r>
        <w:t xml:space="preserve">  </w:t>
      </w:r>
      <w:r w:rsidRPr="00BD64E9">
        <w:t xml:space="preserve">(1) whether </w:t>
      </w:r>
      <w:r>
        <w:t xml:space="preserve">PJM’s </w:t>
      </w:r>
      <w:r w:rsidRPr="00BD64E9">
        <w:t>existing Tariff</w:t>
      </w:r>
      <w:r w:rsidR="00B45A7A">
        <w:t>, with the Alternative Offer Cap Provisions,</w:t>
      </w:r>
      <w:r w:rsidRPr="00BD64E9">
        <w:t xml:space="preserve"> remains just and reasonable and not unduly discriminatory or preferential; and (2) if not, what changes to </w:t>
      </w:r>
      <w:r>
        <w:t xml:space="preserve">PJM’s </w:t>
      </w:r>
      <w:r w:rsidRPr="00BD64E9">
        <w:t>Tariff should be implemented as a replacement rate.</w:t>
      </w:r>
    </w:p>
    <w:p w14:paraId="525F2515" w14:textId="77777777" w:rsidR="008145D1" w:rsidRPr="00BD64E9" w:rsidRDefault="008145D1">
      <w:pPr>
        <w:pStyle w:val="FERCparanumber"/>
      </w:pPr>
      <w:r w:rsidRPr="006A2B9D">
        <w:t xml:space="preserve">If </w:t>
      </w:r>
      <w:r>
        <w:t>PJM</w:t>
      </w:r>
      <w:r w:rsidRPr="006A2B9D">
        <w:t xml:space="preserve"> prefers to propose revisions to its Tariff on the subject of this order, then it may do so pursuant to its applicable FPA section 205 filing rights.</w:t>
      </w:r>
      <w:r w:rsidR="00DF673F">
        <w:t xml:space="preserve"> </w:t>
      </w:r>
      <w:r w:rsidRPr="006A2B9D">
        <w:t xml:space="preserve"> In such a filing, </w:t>
      </w:r>
      <w:r>
        <w:t>PJM</w:t>
      </w:r>
      <w:r w:rsidRPr="006A2B9D">
        <w:t xml:space="preserve"> should state explicitly that it is submitting its proposal under </w:t>
      </w:r>
      <w:r>
        <w:t>FPA section 205</w:t>
      </w:r>
      <w:r w:rsidR="00B1648F">
        <w:t xml:space="preserve"> and make the filing through eTariff using a statutory code</w:t>
      </w:r>
      <w:r w:rsidRPr="006A2B9D">
        <w:t>.</w:t>
      </w:r>
      <w:r w:rsidR="00DF673F">
        <w:t xml:space="preserve"> </w:t>
      </w:r>
      <w:r w:rsidRPr="006A2B9D">
        <w:t xml:space="preserve"> If </w:t>
      </w:r>
      <w:r>
        <w:t>PJM</w:t>
      </w:r>
      <w:r w:rsidRPr="006A2B9D">
        <w:t xml:space="preserve"> wishes to have the Commission hold this proceeding in abeyance pending the Commission’s consideration of any such FPA section 205 filing, </w:t>
      </w:r>
      <w:r>
        <w:t>PJM</w:t>
      </w:r>
      <w:r w:rsidRPr="006A2B9D">
        <w:t xml:space="preserve"> should submit an appropriate motion in this docket explaining the basis for the abeyance.</w:t>
      </w:r>
    </w:p>
    <w:p w14:paraId="271E897F" w14:textId="77777777" w:rsidR="00FA727F" w:rsidRPr="008B3E36" w:rsidRDefault="00FA727F" w:rsidP="00FA727F">
      <w:pPr>
        <w:pStyle w:val="FERCparanumber"/>
      </w:pPr>
      <w:r w:rsidRPr="002A6BA3">
        <w:rPr>
          <w:rFonts w:eastAsia="Times New Roman"/>
          <w:color w:val="212121"/>
          <w:szCs w:val="26"/>
        </w:rPr>
        <w:t xml:space="preserve">In cases where, as here, the Commission institutes a proceeding on its own </w:t>
      </w:r>
      <w:r w:rsidR="005A5866">
        <w:rPr>
          <w:rFonts w:eastAsia="Times New Roman"/>
          <w:color w:val="212121"/>
          <w:szCs w:val="26"/>
        </w:rPr>
        <w:br/>
      </w:r>
      <w:r w:rsidRPr="002A6BA3">
        <w:rPr>
          <w:rFonts w:eastAsia="Times New Roman"/>
          <w:color w:val="212121"/>
          <w:szCs w:val="26"/>
        </w:rPr>
        <w:t>motion under FPA section 206, section 206(b) requires that the Commission establish a refund effective date that is no earlier than the date of publication of the notice of the Commission's initiation of its investigation in the</w:t>
      </w:r>
      <w:r>
        <w:rPr>
          <w:rFonts w:eastAsia="Times New Roman"/>
          <w:color w:val="212121"/>
          <w:szCs w:val="26"/>
        </w:rPr>
        <w:t xml:space="preserve"> </w:t>
      </w:r>
      <w:r w:rsidRPr="002A6BA3">
        <w:rPr>
          <w:rFonts w:eastAsia="Times New Roman"/>
          <w:i/>
          <w:iCs/>
          <w:color w:val="212121"/>
          <w:szCs w:val="26"/>
        </w:rPr>
        <w:t>Federal Register</w:t>
      </w:r>
      <w:r w:rsidRPr="002A6BA3">
        <w:rPr>
          <w:rFonts w:eastAsia="Times New Roman"/>
          <w:color w:val="212121"/>
          <w:szCs w:val="26"/>
        </w:rPr>
        <w:t xml:space="preserve">, and no later than </w:t>
      </w:r>
      <w:r>
        <w:rPr>
          <w:rFonts w:eastAsia="Times New Roman"/>
          <w:color w:val="212121"/>
          <w:szCs w:val="26"/>
        </w:rPr>
        <w:t xml:space="preserve">   </w:t>
      </w:r>
      <w:r w:rsidRPr="002A6BA3">
        <w:rPr>
          <w:rFonts w:eastAsia="Times New Roman"/>
          <w:color w:val="212121"/>
          <w:szCs w:val="26"/>
        </w:rPr>
        <w:t>five months after the publication date.</w:t>
      </w:r>
      <w:r>
        <w:rPr>
          <w:rFonts w:eastAsia="Times New Roman"/>
          <w:color w:val="212121"/>
          <w:szCs w:val="26"/>
          <w:vertAlign w:val="superscript"/>
        </w:rPr>
        <w:t xml:space="preserve"> </w:t>
      </w:r>
      <w:r>
        <w:rPr>
          <w:rFonts w:eastAsia="Times New Roman"/>
          <w:color w:val="212121"/>
          <w:szCs w:val="26"/>
        </w:rPr>
        <w:t xml:space="preserve"> </w:t>
      </w:r>
      <w:r w:rsidRPr="002A6BA3">
        <w:rPr>
          <w:rFonts w:eastAsia="Times New Roman"/>
          <w:color w:val="212121"/>
          <w:szCs w:val="26"/>
        </w:rPr>
        <w:t>Consistent with our general policy of providing maximum protection to customers, we will set the refund effective date at the earliest date possible, i.e., the date of publication by the Commission of its notice of initiat</w:t>
      </w:r>
      <w:r>
        <w:rPr>
          <w:rFonts w:eastAsia="Times New Roman"/>
          <w:color w:val="212121"/>
          <w:szCs w:val="26"/>
        </w:rPr>
        <w:t xml:space="preserve">ion </w:t>
      </w:r>
      <w:r w:rsidR="00FA4AA2">
        <w:rPr>
          <w:rFonts w:eastAsia="Times New Roman"/>
          <w:color w:val="212121"/>
          <w:szCs w:val="26"/>
        </w:rPr>
        <w:t xml:space="preserve">to initiate </w:t>
      </w:r>
      <w:r w:rsidR="00FA4AA2" w:rsidRPr="00C143AB">
        <w:rPr>
          <w:rFonts w:eastAsia="Times New Roman"/>
          <w:color w:val="212121"/>
          <w:szCs w:val="26"/>
        </w:rPr>
        <w:t>Docket No. EL22-</w:t>
      </w:r>
      <w:r w:rsidR="00F8098C">
        <w:rPr>
          <w:rFonts w:eastAsia="Times New Roman"/>
          <w:color w:val="212121"/>
          <w:szCs w:val="26"/>
        </w:rPr>
        <w:t>22</w:t>
      </w:r>
      <w:r w:rsidR="00FA4AA2" w:rsidRPr="00C143AB">
        <w:rPr>
          <w:rFonts w:eastAsia="Times New Roman"/>
          <w:color w:val="212121"/>
          <w:szCs w:val="26"/>
        </w:rPr>
        <w:t>-000</w:t>
      </w:r>
      <w:r w:rsidRPr="002A6BA3">
        <w:rPr>
          <w:rFonts w:eastAsia="Times New Roman"/>
          <w:color w:val="212121"/>
          <w:szCs w:val="26"/>
        </w:rPr>
        <w:t xml:space="preserve"> in the</w:t>
      </w:r>
      <w:r>
        <w:rPr>
          <w:rFonts w:eastAsia="Times New Roman"/>
          <w:color w:val="212121"/>
          <w:szCs w:val="26"/>
        </w:rPr>
        <w:t xml:space="preserve"> </w:t>
      </w:r>
      <w:r w:rsidRPr="002A6BA3">
        <w:rPr>
          <w:rFonts w:eastAsia="Times New Roman"/>
          <w:i/>
          <w:iCs/>
          <w:color w:val="212121"/>
          <w:szCs w:val="26"/>
        </w:rPr>
        <w:t>Federal Register</w:t>
      </w:r>
      <w:r w:rsidRPr="002A6BA3">
        <w:rPr>
          <w:rFonts w:eastAsia="Times New Roman"/>
          <w:color w:val="212121"/>
          <w:szCs w:val="26"/>
        </w:rPr>
        <w:t>.</w:t>
      </w:r>
      <w:r w:rsidRPr="000F3608">
        <w:rPr>
          <w:rFonts w:eastAsia="Times New Roman"/>
          <w:color w:val="212121"/>
          <w:szCs w:val="26"/>
          <w:vertAlign w:val="superscript"/>
        </w:rPr>
        <w:t xml:space="preserve">   </w:t>
      </w:r>
    </w:p>
    <w:p w14:paraId="598D9212" w14:textId="77777777" w:rsidR="00FA727F" w:rsidRPr="008B3E36" w:rsidRDefault="00FA727F" w:rsidP="00FA727F">
      <w:pPr>
        <w:pStyle w:val="FERCparanumber"/>
      </w:pPr>
      <w:r w:rsidRPr="002A6BA3">
        <w:rPr>
          <w:rFonts w:eastAsia="Times New Roman"/>
          <w:color w:val="212121"/>
          <w:szCs w:val="26"/>
        </w:rPr>
        <w:t xml:space="preserve">Section 206(b) of the FPA also requires that, if no final decision is rendered by </w:t>
      </w:r>
      <w:r w:rsidR="00DF673F">
        <w:rPr>
          <w:rFonts w:eastAsia="Times New Roman"/>
          <w:color w:val="212121"/>
          <w:szCs w:val="26"/>
        </w:rPr>
        <w:br/>
      </w:r>
      <w:r w:rsidRPr="002A6BA3">
        <w:rPr>
          <w:rFonts w:eastAsia="Times New Roman"/>
          <w:color w:val="212121"/>
          <w:szCs w:val="26"/>
        </w:rPr>
        <w:t xml:space="preserve">the conclusion of the 180-day period commencing upon initiation of the section 206 proceeding, the Commission shall state the reasons why it has failed to render such a decision and state its best estimate as to when it reasonably expects to make such a </w:t>
      </w:r>
      <w:r w:rsidRPr="002A6BA3">
        <w:rPr>
          <w:rFonts w:eastAsia="Times New Roman"/>
          <w:color w:val="212121"/>
          <w:szCs w:val="26"/>
        </w:rPr>
        <w:lastRenderedPageBreak/>
        <w:t>decision</w:t>
      </w:r>
      <w:r w:rsidRPr="005A1922">
        <w:rPr>
          <w:rFonts w:eastAsia="Times New Roman"/>
          <w:color w:val="212121"/>
          <w:szCs w:val="26"/>
        </w:rPr>
        <w:t xml:space="preserve">.  </w:t>
      </w:r>
      <w:r w:rsidR="0022009E" w:rsidRPr="005A1922">
        <w:rPr>
          <w:rFonts w:eastAsia="Times New Roman"/>
          <w:color w:val="212121"/>
          <w:szCs w:val="26"/>
        </w:rPr>
        <w:t>W</w:t>
      </w:r>
      <w:r w:rsidRPr="005A1922">
        <w:rPr>
          <w:rFonts w:eastAsia="Times New Roman"/>
          <w:color w:val="212121"/>
          <w:szCs w:val="26"/>
        </w:rPr>
        <w:t xml:space="preserve">e estimate that we would be able to issue our decision within approximately four months of the filing of the </w:t>
      </w:r>
      <w:r w:rsidR="00FA4AA2" w:rsidRPr="005A1922">
        <w:rPr>
          <w:rFonts w:eastAsia="Times New Roman"/>
          <w:color w:val="212121"/>
          <w:szCs w:val="26"/>
        </w:rPr>
        <w:t>T</w:t>
      </w:r>
      <w:r w:rsidRPr="005A1922">
        <w:rPr>
          <w:rFonts w:eastAsia="Times New Roman"/>
          <w:color w:val="212121"/>
          <w:szCs w:val="26"/>
        </w:rPr>
        <w:t>ariff revisions.</w:t>
      </w:r>
      <w:r w:rsidRPr="000F3608">
        <w:rPr>
          <w:rFonts w:eastAsia="Times New Roman"/>
          <w:color w:val="212121"/>
          <w:szCs w:val="26"/>
        </w:rPr>
        <w:t xml:space="preserve">  </w:t>
      </w:r>
    </w:p>
    <w:p w14:paraId="27299A93" w14:textId="77777777" w:rsidR="00FA727F" w:rsidRDefault="00FA727F" w:rsidP="00FA727F">
      <w:pPr>
        <w:pStyle w:val="FERCparanumber"/>
      </w:pPr>
      <w:r w:rsidRPr="008A44BB">
        <w:rPr>
          <w:rFonts w:eastAsia="Times New Roman"/>
          <w:color w:val="212121"/>
          <w:szCs w:val="26"/>
        </w:rPr>
        <w:t>Any entity desiring to participate in th</w:t>
      </w:r>
      <w:r>
        <w:rPr>
          <w:rFonts w:eastAsia="Times New Roman"/>
          <w:color w:val="212121"/>
          <w:szCs w:val="26"/>
        </w:rPr>
        <w:t>is</w:t>
      </w:r>
      <w:r w:rsidRPr="008A44BB">
        <w:rPr>
          <w:rFonts w:eastAsia="Times New Roman"/>
          <w:color w:val="212121"/>
          <w:szCs w:val="26"/>
        </w:rPr>
        <w:t xml:space="preserve"> proceeding must file a notice of intervention or a motion to intervene, as appropriate, in </w:t>
      </w:r>
      <w:r w:rsidR="004411EA" w:rsidRPr="00C143AB">
        <w:rPr>
          <w:rFonts w:eastAsia="Times New Roman"/>
          <w:color w:val="212121"/>
          <w:szCs w:val="26"/>
        </w:rPr>
        <w:t>Docket No. EL22-</w:t>
      </w:r>
      <w:r w:rsidR="00F8098C">
        <w:rPr>
          <w:rFonts w:eastAsia="Times New Roman"/>
          <w:color w:val="212121"/>
          <w:szCs w:val="26"/>
        </w:rPr>
        <w:t>22</w:t>
      </w:r>
      <w:r w:rsidR="004411EA" w:rsidRPr="00C143AB">
        <w:rPr>
          <w:rFonts w:eastAsia="Times New Roman"/>
          <w:color w:val="212121"/>
          <w:szCs w:val="26"/>
        </w:rPr>
        <w:t>-000</w:t>
      </w:r>
      <w:r w:rsidR="004411EA" w:rsidRPr="002A6BA3">
        <w:rPr>
          <w:rFonts w:eastAsia="Times New Roman"/>
          <w:color w:val="212121"/>
          <w:szCs w:val="26"/>
        </w:rPr>
        <w:t xml:space="preserve"> </w:t>
      </w:r>
      <w:r w:rsidRPr="008A44BB">
        <w:rPr>
          <w:rFonts w:eastAsia="Times New Roman"/>
          <w:color w:val="212121"/>
          <w:szCs w:val="26"/>
        </w:rPr>
        <w:t>in accordance with Rule 214 of the Commission</w:t>
      </w:r>
      <w:r>
        <w:rPr>
          <w:rFonts w:eastAsia="Times New Roman"/>
          <w:color w:val="212121"/>
          <w:szCs w:val="26"/>
        </w:rPr>
        <w:t>’</w:t>
      </w:r>
      <w:r w:rsidRPr="008A44BB">
        <w:rPr>
          <w:rFonts w:eastAsia="Times New Roman"/>
          <w:color w:val="212121"/>
          <w:szCs w:val="26"/>
        </w:rPr>
        <w:t>s Rules of Practice and Procedure,</w:t>
      </w:r>
      <w:r>
        <w:rPr>
          <w:rFonts w:eastAsia="Times New Roman"/>
          <w:color w:val="212121"/>
          <w:szCs w:val="26"/>
        </w:rPr>
        <w:t xml:space="preserve"> </w:t>
      </w:r>
      <w:r w:rsidR="00DF673F">
        <w:rPr>
          <w:rFonts w:eastAsia="Times New Roman"/>
          <w:color w:val="212121"/>
          <w:szCs w:val="26"/>
        </w:rPr>
        <w:br/>
      </w:r>
      <w:r w:rsidR="008154CD" w:rsidRPr="008154CD">
        <w:rPr>
          <w:rFonts w:eastAsia="Times New Roman"/>
          <w:color w:val="212121"/>
          <w:szCs w:val="26"/>
        </w:rPr>
        <w:t>18 C.F.R. § 385.214</w:t>
      </w:r>
      <w:r w:rsidR="008154CD">
        <w:rPr>
          <w:rFonts w:eastAsia="Times New Roman"/>
          <w:color w:val="212121"/>
          <w:szCs w:val="26"/>
        </w:rPr>
        <w:t xml:space="preserve">, </w:t>
      </w:r>
      <w:r w:rsidRPr="008A44BB">
        <w:rPr>
          <w:rFonts w:eastAsia="Times New Roman"/>
          <w:color w:val="212121"/>
          <w:szCs w:val="26"/>
        </w:rPr>
        <w:t>within 21 days of publication of notice in the</w:t>
      </w:r>
      <w:r>
        <w:rPr>
          <w:rFonts w:eastAsia="Times New Roman"/>
          <w:color w:val="212121"/>
          <w:szCs w:val="26"/>
        </w:rPr>
        <w:t xml:space="preserve"> </w:t>
      </w:r>
      <w:r w:rsidRPr="008A44BB">
        <w:rPr>
          <w:rFonts w:eastAsia="Times New Roman"/>
          <w:i/>
          <w:iCs/>
          <w:color w:val="212121"/>
          <w:szCs w:val="26"/>
        </w:rPr>
        <w:t>Federal Register</w:t>
      </w:r>
      <w:r>
        <w:rPr>
          <w:rFonts w:eastAsia="Times New Roman"/>
          <w:color w:val="212121"/>
          <w:szCs w:val="26"/>
        </w:rPr>
        <w:t xml:space="preserve"> </w:t>
      </w:r>
      <w:r w:rsidRPr="008A44BB">
        <w:rPr>
          <w:rFonts w:eastAsia="Times New Roman"/>
          <w:color w:val="212121"/>
          <w:szCs w:val="26"/>
        </w:rPr>
        <w:t>of the Commission's initiation of the section 206 proceeding</w:t>
      </w:r>
      <w:r>
        <w:t>.</w:t>
      </w:r>
    </w:p>
    <w:p w14:paraId="021BD1AC" w14:textId="77777777" w:rsidR="00FA727F" w:rsidRDefault="00FA727F" w:rsidP="002A311D">
      <w:r w:rsidRPr="00CD0B38">
        <w:rPr>
          <w:u w:val="single"/>
        </w:rPr>
        <w:t>The Commission orders</w:t>
      </w:r>
      <w:r w:rsidRPr="00CD0B38">
        <w:t>:</w:t>
      </w:r>
    </w:p>
    <w:p w14:paraId="004765EA" w14:textId="77777777" w:rsidR="005E2DAD" w:rsidRDefault="005E2DAD" w:rsidP="002A311D"/>
    <w:p w14:paraId="4E1D7EDA" w14:textId="77777777" w:rsidR="00FA727F" w:rsidRDefault="00FA727F" w:rsidP="005D0E31">
      <w:pPr>
        <w:numPr>
          <w:ilvl w:val="0"/>
          <w:numId w:val="24"/>
        </w:numPr>
        <w:ind w:left="0" w:firstLine="720"/>
      </w:pPr>
      <w:r>
        <w:t xml:space="preserve">The </w:t>
      </w:r>
      <w:r w:rsidR="006558A9">
        <w:t>letter agreements</w:t>
      </w:r>
      <w:r>
        <w:t xml:space="preserve"> </w:t>
      </w:r>
      <w:r w:rsidR="00171891">
        <w:t>filed herein</w:t>
      </w:r>
      <w:r w:rsidRPr="00FA727F">
        <w:t xml:space="preserve"> are hereby </w:t>
      </w:r>
      <w:r>
        <w:t xml:space="preserve">rejected, as discussed </w:t>
      </w:r>
      <w:r w:rsidR="00015CBB">
        <w:t>in the body of this order.</w:t>
      </w:r>
      <w:r w:rsidRPr="00FA727F">
        <w:t xml:space="preserve"> </w:t>
      </w:r>
    </w:p>
    <w:p w14:paraId="5C984E8D" w14:textId="77777777" w:rsidR="00FA727F" w:rsidRPr="00FA727F" w:rsidRDefault="00FA727F" w:rsidP="005D0E31">
      <w:pPr>
        <w:ind w:firstLine="720"/>
      </w:pPr>
    </w:p>
    <w:p w14:paraId="5A0A4D3D" w14:textId="77777777" w:rsidR="00FA727F" w:rsidRDefault="00FA727F" w:rsidP="005D0E31">
      <w:pPr>
        <w:numPr>
          <w:ilvl w:val="0"/>
          <w:numId w:val="24"/>
        </w:numPr>
        <w:ind w:left="0" w:firstLine="720"/>
      </w:pPr>
      <w:r w:rsidRPr="00FA727F">
        <w:t>Pursuant to the authority contained in and subject to the jurisdiction conferred upon the Federal Energy Regulatory Commission by section 402(a) of the Department of Energy Organization Act and the FPA, particularly section 206 thereof, and pursuant to the Commission’s Rules of Practice and Procedure and the regulations under the FPA (18 C.F.R. Chapter I), the Commission hereby institutes a proceeding in Docket No. EL2</w:t>
      </w:r>
      <w:r>
        <w:t>2</w:t>
      </w:r>
      <w:r w:rsidRPr="00FA727F">
        <w:t>-</w:t>
      </w:r>
      <w:r w:rsidR="00F8098C">
        <w:t>22</w:t>
      </w:r>
      <w:r w:rsidRPr="00FA727F">
        <w:t xml:space="preserve">-000, as discussed in </w:t>
      </w:r>
      <w:r w:rsidR="00F63896">
        <w:t>the body of</w:t>
      </w:r>
      <w:r w:rsidRPr="00FA727F">
        <w:t xml:space="preserve"> this order.</w:t>
      </w:r>
    </w:p>
    <w:p w14:paraId="58420B14" w14:textId="77777777" w:rsidR="00FA727F" w:rsidRPr="00FA727F" w:rsidRDefault="00FA727F" w:rsidP="005D0E31">
      <w:pPr>
        <w:ind w:firstLine="720"/>
      </w:pPr>
    </w:p>
    <w:p w14:paraId="78AFEA02" w14:textId="77777777" w:rsidR="00FA727F" w:rsidRDefault="00803F9F" w:rsidP="005D0E31">
      <w:pPr>
        <w:numPr>
          <w:ilvl w:val="0"/>
          <w:numId w:val="24"/>
        </w:numPr>
        <w:ind w:left="0" w:firstLine="720"/>
      </w:pPr>
      <w:r>
        <w:t>P</w:t>
      </w:r>
      <w:r w:rsidR="00FA727F" w:rsidRPr="00FA727F">
        <w:t xml:space="preserve">ursuant to FPA section 206, we direct PJM </w:t>
      </w:r>
      <w:r w:rsidR="00FA727F" w:rsidRPr="005A1922">
        <w:t xml:space="preserve">within </w:t>
      </w:r>
      <w:r w:rsidR="00F63896" w:rsidRPr="005A1922">
        <w:t>60</w:t>
      </w:r>
      <w:r w:rsidR="00FA727F" w:rsidRPr="005A1922">
        <w:t xml:space="preserve"> days</w:t>
      </w:r>
      <w:r w:rsidR="00FA727F" w:rsidRPr="00FA727F">
        <w:t xml:space="preserve"> of the date of this order to submit a filing</w:t>
      </w:r>
      <w:r w:rsidR="0042485F">
        <w:t>,</w:t>
      </w:r>
      <w:r w:rsidR="00FA727F" w:rsidRPr="00FA727F">
        <w:t xml:space="preserve"> as discussed in </w:t>
      </w:r>
      <w:r w:rsidR="0042485F">
        <w:t xml:space="preserve">the body of </w:t>
      </w:r>
      <w:r w:rsidR="00FA727F" w:rsidRPr="00FA727F">
        <w:t>this order</w:t>
      </w:r>
      <w:r w:rsidR="0042485F">
        <w:t>,</w:t>
      </w:r>
      <w:r w:rsidR="00FA727F" w:rsidRPr="00FA727F">
        <w:t xml:space="preserve"> either:  </w:t>
      </w:r>
      <w:r w:rsidR="0042485F" w:rsidRPr="0042485F">
        <w:rPr>
          <w:rFonts w:eastAsia="Times New Roman"/>
          <w:color w:val="212121"/>
          <w:szCs w:val="26"/>
        </w:rPr>
        <w:t>(1) show</w:t>
      </w:r>
      <w:r w:rsidR="00A72025">
        <w:rPr>
          <w:rFonts w:eastAsia="Times New Roman"/>
          <w:color w:val="212121"/>
          <w:szCs w:val="26"/>
        </w:rPr>
        <w:t>ing</w:t>
      </w:r>
      <w:r w:rsidR="0042485F" w:rsidRPr="0042485F">
        <w:rPr>
          <w:rFonts w:eastAsia="Times New Roman"/>
          <w:color w:val="212121"/>
          <w:szCs w:val="26"/>
        </w:rPr>
        <w:t xml:space="preserve"> cause as to why its Tariff</w:t>
      </w:r>
      <w:r w:rsidR="0042485F" w:rsidRPr="00FF36E4">
        <w:rPr>
          <w:rFonts w:eastAsia="Times New Roman"/>
          <w:color w:val="212121"/>
          <w:szCs w:val="26"/>
        </w:rPr>
        <w:t>, with the</w:t>
      </w:r>
      <w:r w:rsidR="0042485F" w:rsidRPr="004411EA">
        <w:t xml:space="preserve"> </w:t>
      </w:r>
      <w:r w:rsidR="0042485F">
        <w:t>Alternative Offer Cap Provisions,</w:t>
      </w:r>
      <w:r w:rsidR="0042485F" w:rsidRPr="004411EA">
        <w:rPr>
          <w:rFonts w:eastAsia="Times New Roman"/>
          <w:color w:val="212121"/>
          <w:szCs w:val="26"/>
        </w:rPr>
        <w:t xml:space="preserve"> remains just and reasonable and not unduly discriminatory or preferential; or (2) explain</w:t>
      </w:r>
      <w:r w:rsidR="00A72025">
        <w:rPr>
          <w:rFonts w:eastAsia="Times New Roman"/>
          <w:color w:val="212121"/>
          <w:szCs w:val="26"/>
        </w:rPr>
        <w:t>ing</w:t>
      </w:r>
      <w:r w:rsidR="0042485F" w:rsidRPr="004411EA">
        <w:rPr>
          <w:rFonts w:eastAsia="Times New Roman"/>
          <w:color w:val="212121"/>
          <w:szCs w:val="26"/>
        </w:rPr>
        <w:t xml:space="preserve"> what changes to its Tariff it believes would remedy the identified concerns if the Commission were to determine that the Tariff</w:t>
      </w:r>
      <w:r w:rsidR="0042485F" w:rsidRPr="00FF36E4">
        <w:rPr>
          <w:rFonts w:eastAsia="Times New Roman"/>
          <w:color w:val="212121"/>
          <w:szCs w:val="26"/>
        </w:rPr>
        <w:t>, with the</w:t>
      </w:r>
      <w:r w:rsidR="0042485F" w:rsidRPr="004411EA">
        <w:t xml:space="preserve"> </w:t>
      </w:r>
      <w:r w:rsidR="0042485F">
        <w:t>Alternative Offer Cap Provisions,</w:t>
      </w:r>
      <w:r w:rsidR="0042485F" w:rsidRPr="004411EA">
        <w:rPr>
          <w:rFonts w:eastAsia="Times New Roman"/>
          <w:color w:val="212121"/>
          <w:szCs w:val="26"/>
        </w:rPr>
        <w:t xml:space="preserve"> has,</w:t>
      </w:r>
      <w:r w:rsidR="0042485F" w:rsidRPr="00FF36E4">
        <w:rPr>
          <w:rFonts w:eastAsia="Times New Roman"/>
          <w:color w:val="212121"/>
          <w:szCs w:val="26"/>
        </w:rPr>
        <w:t xml:space="preserve"> in fact, become unjust and unreasonable or unduly discriminatory or preferential and, therefore, proceeds to order appropriate revisions.</w:t>
      </w:r>
      <w:r w:rsidR="00FA727F" w:rsidRPr="00FA727F">
        <w:t xml:space="preserve"> </w:t>
      </w:r>
    </w:p>
    <w:p w14:paraId="0FB15693" w14:textId="77777777" w:rsidR="00FA727F" w:rsidRPr="00FA727F" w:rsidRDefault="00FA727F" w:rsidP="005D0E31">
      <w:pPr>
        <w:ind w:firstLine="720"/>
      </w:pPr>
    </w:p>
    <w:p w14:paraId="21530505" w14:textId="77777777" w:rsidR="00FA727F" w:rsidRDefault="00FA727F" w:rsidP="005D0E31">
      <w:pPr>
        <w:numPr>
          <w:ilvl w:val="0"/>
          <w:numId w:val="24"/>
        </w:numPr>
        <w:ind w:left="0" w:firstLine="720"/>
      </w:pPr>
      <w:r w:rsidRPr="00FA727F">
        <w:t xml:space="preserve">Any entity desiring to participate in this proceeding must file a notice of intervention or a motion to intervene, as appropriate, in the docket number identified in the caption of this order in accordance with Rule 214 of the Commission's Rules of Practice and Procedure, </w:t>
      </w:r>
      <w:r w:rsidR="008F6408" w:rsidRPr="008F6408">
        <w:t>18 C.F.R. § 385.214</w:t>
      </w:r>
      <w:r w:rsidR="008F6408">
        <w:t xml:space="preserve">, </w:t>
      </w:r>
      <w:r w:rsidRPr="00FA727F">
        <w:t xml:space="preserve">within 21 days of publication of notice in the </w:t>
      </w:r>
      <w:r w:rsidRPr="00FA727F">
        <w:rPr>
          <w:i/>
          <w:iCs/>
        </w:rPr>
        <w:t>Federal Register</w:t>
      </w:r>
      <w:r w:rsidRPr="00FA727F">
        <w:t xml:space="preserve"> of the Commission’s initiation of the section 206 proceeding.</w:t>
      </w:r>
    </w:p>
    <w:p w14:paraId="08F44C77" w14:textId="77777777" w:rsidR="00FA727F" w:rsidRPr="00FA727F" w:rsidRDefault="00FA727F" w:rsidP="005D0E31">
      <w:pPr>
        <w:ind w:firstLine="720"/>
      </w:pPr>
    </w:p>
    <w:p w14:paraId="1F2614D3" w14:textId="77777777" w:rsidR="00FA727F" w:rsidRDefault="00FA727F" w:rsidP="005D0E31">
      <w:pPr>
        <w:numPr>
          <w:ilvl w:val="0"/>
          <w:numId w:val="24"/>
        </w:numPr>
        <w:ind w:left="0" w:firstLine="720"/>
      </w:pPr>
      <w:r w:rsidRPr="00FA727F">
        <w:t>Interested entities may respond within 30 days of PJM’s filing, addressing either or both:  (1) whether PJM’s existing Tariff</w:t>
      </w:r>
      <w:r w:rsidR="000D3FC4">
        <w:t>, with the Alternative Offer Cap Provisions,</w:t>
      </w:r>
      <w:r w:rsidRPr="00FA727F">
        <w:t xml:space="preserve"> remains just and reasonable and not unduly discriminatory or preferential; and (2) if not, what changes to PJM’s Tariff should be implemented as a replacement rate.</w:t>
      </w:r>
    </w:p>
    <w:p w14:paraId="12F9A0D9" w14:textId="77777777" w:rsidR="00FA727F" w:rsidRDefault="00FA727F" w:rsidP="005D0E31">
      <w:pPr>
        <w:ind w:firstLine="720"/>
      </w:pPr>
    </w:p>
    <w:p w14:paraId="0D9C4F2C" w14:textId="77777777" w:rsidR="005A5866" w:rsidRPr="00FA727F" w:rsidRDefault="005A5866" w:rsidP="005D0E31">
      <w:pPr>
        <w:ind w:firstLine="720"/>
      </w:pPr>
    </w:p>
    <w:p w14:paraId="4095F026" w14:textId="77777777" w:rsidR="00FA727F" w:rsidRPr="00FA727F" w:rsidRDefault="00FA727F" w:rsidP="005D0E31">
      <w:pPr>
        <w:numPr>
          <w:ilvl w:val="0"/>
          <w:numId w:val="24"/>
        </w:numPr>
        <w:ind w:left="0" w:firstLine="720"/>
      </w:pPr>
      <w:r w:rsidRPr="00FA727F">
        <w:lastRenderedPageBreak/>
        <w:t xml:space="preserve">The Secretary shall promptly publish in the </w:t>
      </w:r>
      <w:r w:rsidRPr="00FA727F">
        <w:rPr>
          <w:i/>
          <w:iCs/>
        </w:rPr>
        <w:t>Federal Register</w:t>
      </w:r>
      <w:r w:rsidRPr="00FA727F">
        <w:t xml:space="preserve"> a notice of the Commission’s initiation of the FPA section 206 proceeding in </w:t>
      </w:r>
      <w:r w:rsidRPr="00C143AB">
        <w:t>Docket No. EL22-</w:t>
      </w:r>
      <w:r w:rsidR="00F8098C">
        <w:t>22</w:t>
      </w:r>
      <w:r w:rsidRPr="00C143AB">
        <w:t>-000.</w:t>
      </w:r>
    </w:p>
    <w:p w14:paraId="532ABF3D" w14:textId="77777777" w:rsidR="00DF673F" w:rsidRDefault="00DF673F" w:rsidP="005D0E31">
      <w:pPr>
        <w:ind w:firstLine="720"/>
      </w:pPr>
    </w:p>
    <w:p w14:paraId="29F77468" w14:textId="77777777" w:rsidR="00FA727F" w:rsidRPr="00FA727F" w:rsidRDefault="00FA727F" w:rsidP="005D0E31">
      <w:pPr>
        <w:numPr>
          <w:ilvl w:val="0"/>
          <w:numId w:val="24"/>
        </w:numPr>
        <w:ind w:left="0" w:firstLine="720"/>
      </w:pPr>
      <w:r w:rsidRPr="00FA727F">
        <w:t xml:space="preserve">The refund effective date established </w:t>
      </w:r>
      <w:r w:rsidR="00FC1ECC">
        <w:t xml:space="preserve">in </w:t>
      </w:r>
      <w:r w:rsidR="00FC1ECC" w:rsidRPr="00C143AB">
        <w:t>Docket No. EL22-</w:t>
      </w:r>
      <w:r w:rsidR="00F8098C">
        <w:t>22</w:t>
      </w:r>
      <w:r w:rsidR="00FC1ECC" w:rsidRPr="00C143AB">
        <w:t>-000</w:t>
      </w:r>
      <w:r w:rsidR="00FC1ECC">
        <w:t xml:space="preserve"> </w:t>
      </w:r>
      <w:r w:rsidRPr="00FA727F">
        <w:t xml:space="preserve">pursuant to section 206(b) of the FPA will be the date of publication in the </w:t>
      </w:r>
      <w:r w:rsidRPr="00FA727F">
        <w:rPr>
          <w:i/>
          <w:iCs/>
        </w:rPr>
        <w:t>Federal Register</w:t>
      </w:r>
      <w:r w:rsidRPr="00FA727F">
        <w:t xml:space="preserve"> of the notice discussed in Ordering Paragraph (</w:t>
      </w:r>
      <w:r w:rsidR="00153BB1">
        <w:t>F</w:t>
      </w:r>
      <w:r w:rsidRPr="00FA727F">
        <w:t>) above.</w:t>
      </w:r>
    </w:p>
    <w:p w14:paraId="15398D2E" w14:textId="77777777" w:rsidR="00FA727F" w:rsidRPr="00CD0B38" w:rsidRDefault="00FA727F" w:rsidP="002A311D"/>
    <w:p w14:paraId="5BE9D78E" w14:textId="77777777" w:rsidR="00FA727F" w:rsidRDefault="00FA727F" w:rsidP="00185776">
      <w:pPr>
        <w:ind w:right="-270"/>
      </w:pPr>
      <w:r w:rsidRPr="00CD0B38">
        <w:t>By the Commission.</w:t>
      </w:r>
      <w:r w:rsidR="00185776">
        <w:t xml:space="preserve">  </w:t>
      </w:r>
      <w:r w:rsidR="00185776" w:rsidRPr="00185776">
        <w:t xml:space="preserve">Commissioner Danly </w:t>
      </w:r>
      <w:r w:rsidR="00185776">
        <w:t xml:space="preserve">is </w:t>
      </w:r>
      <w:r w:rsidR="00185776" w:rsidRPr="00185776">
        <w:t>concurring with a separate statement</w:t>
      </w:r>
      <w:r w:rsidR="00185776">
        <w:t xml:space="preserve"> attached.</w:t>
      </w:r>
    </w:p>
    <w:p w14:paraId="34FF451E" w14:textId="77777777" w:rsidR="00DF673F" w:rsidRDefault="00DF673F" w:rsidP="002A311D"/>
    <w:p w14:paraId="400B6445" w14:textId="77777777" w:rsidR="00DF673F" w:rsidRDefault="00DF673F" w:rsidP="0091526F">
      <w:pPr>
        <w:widowControl/>
      </w:pPr>
      <w:r w:rsidRPr="00DF673F">
        <w:t>( S E A L )</w:t>
      </w:r>
    </w:p>
    <w:p w14:paraId="101272C7" w14:textId="77777777" w:rsidR="00DF673F" w:rsidRPr="00DF673F" w:rsidRDefault="00DF673F" w:rsidP="00DF673F">
      <w:pPr>
        <w:widowControl/>
      </w:pPr>
    </w:p>
    <w:p w14:paraId="2EC9E940" w14:textId="77777777" w:rsidR="00DF673F" w:rsidRDefault="00DF673F" w:rsidP="0091526F">
      <w:pPr>
        <w:widowControl/>
      </w:pPr>
    </w:p>
    <w:p w14:paraId="1306157E" w14:textId="77777777" w:rsidR="00DF673F" w:rsidRDefault="00DF673F" w:rsidP="0091526F">
      <w:pPr>
        <w:widowControl/>
      </w:pPr>
    </w:p>
    <w:p w14:paraId="6B73430F" w14:textId="77777777" w:rsidR="00DF673F" w:rsidRDefault="00DF673F" w:rsidP="0091526F">
      <w:pPr>
        <w:widowControl/>
      </w:pPr>
    </w:p>
    <w:p w14:paraId="3FE090CF" w14:textId="77777777" w:rsidR="00DF673F" w:rsidRPr="00DF673F" w:rsidRDefault="00DF673F" w:rsidP="00DF673F">
      <w:pPr>
        <w:widowControl/>
        <w:ind w:firstLine="2174"/>
        <w:jc w:val="center"/>
      </w:pPr>
      <w:r w:rsidRPr="00DF673F">
        <w:t>Kimberly D. Bose,</w:t>
      </w:r>
    </w:p>
    <w:p w14:paraId="25202081" w14:textId="77777777" w:rsidR="00DF673F" w:rsidRPr="00DF673F" w:rsidRDefault="00DF673F" w:rsidP="00DF673F">
      <w:pPr>
        <w:widowControl/>
        <w:ind w:firstLine="2174"/>
        <w:jc w:val="center"/>
      </w:pPr>
      <w:r w:rsidRPr="00DF673F">
        <w:t>Secretary.</w:t>
      </w:r>
    </w:p>
    <w:p w14:paraId="5C8BBD64" w14:textId="77777777" w:rsidR="00DF673F" w:rsidRPr="00CD0B38" w:rsidRDefault="00DF673F" w:rsidP="00DF673F">
      <w:pPr>
        <w:widowControl/>
      </w:pPr>
    </w:p>
    <w:p w14:paraId="77ED9EEF" w14:textId="77777777" w:rsidR="00FF32A1" w:rsidRDefault="00FF32A1" w:rsidP="0003382F"/>
    <w:p w14:paraId="71F72F75" w14:textId="77777777" w:rsidR="00185776" w:rsidRDefault="00185776" w:rsidP="0003382F"/>
    <w:p w14:paraId="32E4866D" w14:textId="77777777" w:rsidR="00185776" w:rsidRDefault="00185776" w:rsidP="0003382F">
      <w:pPr>
        <w:sectPr w:rsidR="00185776" w:rsidSect="00FA727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1"/>
          <w:cols w:space="720"/>
          <w:titlePg/>
          <w:docGrid w:linePitch="360"/>
        </w:sectPr>
      </w:pPr>
    </w:p>
    <w:p w14:paraId="63B34EFB" w14:textId="77777777" w:rsidR="00135F49" w:rsidRPr="00135F49" w:rsidRDefault="00135F49" w:rsidP="00135F49">
      <w:pPr>
        <w:jc w:val="center"/>
      </w:pPr>
      <w:r w:rsidRPr="00135F49">
        <w:lastRenderedPageBreak/>
        <w:t>UNITED STATES OF AMERICA</w:t>
      </w:r>
    </w:p>
    <w:p w14:paraId="70E9EE70" w14:textId="77777777" w:rsidR="00135F49" w:rsidRPr="00135F49" w:rsidRDefault="00135F49" w:rsidP="00135F49">
      <w:pPr>
        <w:jc w:val="center"/>
      </w:pPr>
      <w:r w:rsidRPr="00135F49">
        <w:t>FEDERAL ENERGY REGULATORY COMMISSION</w:t>
      </w:r>
    </w:p>
    <w:p w14:paraId="596D372C" w14:textId="77777777" w:rsidR="00135F49" w:rsidRPr="00135F49" w:rsidRDefault="00135F49" w:rsidP="00135F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18"/>
        <w:gridCol w:w="1529"/>
        <w:gridCol w:w="1913"/>
      </w:tblGrid>
      <w:tr w:rsidR="00135F49" w:rsidRPr="00135F49" w14:paraId="1B5B8097" w14:textId="77777777" w:rsidTr="00514680">
        <w:tc>
          <w:tcPr>
            <w:tcW w:w="6088" w:type="dxa"/>
            <w:shd w:val="clear" w:color="auto" w:fill="auto"/>
          </w:tcPr>
          <w:p w14:paraId="4DEA6FD2"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Talen Energy Marketing, LLC</w:t>
            </w:r>
          </w:p>
          <w:p w14:paraId="35D0A727"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EF Kenilworth, LLC</w:t>
            </w:r>
          </w:p>
          <w:p w14:paraId="20A9512C"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 xml:space="preserve">Chambersburg Energy, LLC </w:t>
            </w:r>
          </w:p>
          <w:p w14:paraId="1A9BBBD6"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 xml:space="preserve">Rockford Power, LLC </w:t>
            </w:r>
          </w:p>
          <w:p w14:paraId="6381B2B8"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 xml:space="preserve">Rockford Power II, LLC </w:t>
            </w:r>
          </w:p>
          <w:p w14:paraId="01B21C9B"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 xml:space="preserve">Troy Energy, LLC </w:t>
            </w:r>
          </w:p>
          <w:p w14:paraId="29001F08"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 xml:space="preserve">LSP University Park, LLC </w:t>
            </w:r>
          </w:p>
          <w:p w14:paraId="04B33CA5"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 xml:space="preserve">University Park Energy, LLC </w:t>
            </w:r>
          </w:p>
          <w:p w14:paraId="6B2A3C0A"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Energy Center Dover, LLC</w:t>
            </w:r>
          </w:p>
          <w:p w14:paraId="4E4E2B04" w14:textId="77777777" w:rsidR="00135F49" w:rsidRPr="00135F49" w:rsidRDefault="00135F49" w:rsidP="00135F49">
            <w:pPr>
              <w:widowControl/>
              <w:autoSpaceDE/>
              <w:autoSpaceDN/>
              <w:adjustRightInd/>
              <w:rPr>
                <w:rFonts w:eastAsiaTheme="minorHAnsi" w:cstheme="minorBidi"/>
                <w:szCs w:val="22"/>
              </w:rPr>
            </w:pPr>
          </w:p>
          <w:p w14:paraId="27D51B23" w14:textId="77777777" w:rsidR="00135F49" w:rsidRPr="00135F49" w:rsidRDefault="00135F49" w:rsidP="00135F49">
            <w:pPr>
              <w:widowControl/>
              <w:autoSpaceDE/>
              <w:autoSpaceDN/>
              <w:adjustRightInd/>
              <w:rPr>
                <w:rFonts w:eastAsiaTheme="minorHAnsi" w:cstheme="minorBidi"/>
                <w:szCs w:val="22"/>
              </w:rPr>
            </w:pPr>
          </w:p>
          <w:p w14:paraId="357EC9A9" w14:textId="77777777" w:rsidR="00135F49" w:rsidRPr="00135F49" w:rsidRDefault="00135F49" w:rsidP="00135F49">
            <w:pPr>
              <w:widowControl/>
              <w:autoSpaceDE/>
              <w:autoSpaceDN/>
              <w:adjustRightInd/>
              <w:rPr>
                <w:rFonts w:eastAsiaTheme="minorHAnsi" w:cstheme="minorBidi"/>
                <w:szCs w:val="22"/>
              </w:rPr>
            </w:pPr>
          </w:p>
          <w:p w14:paraId="5C0B17DB"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PJM Interconnection, L.L.C.</w:t>
            </w:r>
          </w:p>
        </w:tc>
        <w:tc>
          <w:tcPr>
            <w:tcW w:w="1560" w:type="dxa"/>
            <w:shd w:val="clear" w:color="auto" w:fill="auto"/>
          </w:tcPr>
          <w:p w14:paraId="309F26FE"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Docket Nos.</w:t>
            </w:r>
          </w:p>
        </w:tc>
        <w:tc>
          <w:tcPr>
            <w:tcW w:w="1928" w:type="dxa"/>
            <w:shd w:val="clear" w:color="auto" w:fill="auto"/>
            <w:tcMar>
              <w:left w:w="144" w:type="dxa"/>
            </w:tcMar>
          </w:tcPr>
          <w:p w14:paraId="64A7B078"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ER22-474-000</w:t>
            </w:r>
          </w:p>
          <w:p w14:paraId="1029CF67"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ER22-539-000 ER22-550-000</w:t>
            </w:r>
          </w:p>
          <w:p w14:paraId="2F0653CC"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ER22-551-000</w:t>
            </w:r>
          </w:p>
          <w:p w14:paraId="20C9877D"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ER22-552-000</w:t>
            </w:r>
          </w:p>
          <w:p w14:paraId="6E5F79BC"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ER22-553-000</w:t>
            </w:r>
          </w:p>
          <w:p w14:paraId="5FCE0B65"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ER22-554-000</w:t>
            </w:r>
          </w:p>
          <w:p w14:paraId="7E980352"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ER22-555-000</w:t>
            </w:r>
          </w:p>
          <w:p w14:paraId="28C454A1"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ER22-704-000</w:t>
            </w:r>
          </w:p>
          <w:p w14:paraId="0EEF7770"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(not consolidated)</w:t>
            </w:r>
          </w:p>
          <w:p w14:paraId="13C5BA17" w14:textId="77777777" w:rsidR="00135F49" w:rsidRPr="00135F49" w:rsidRDefault="00135F49" w:rsidP="00135F49">
            <w:pPr>
              <w:widowControl/>
              <w:autoSpaceDE/>
              <w:autoSpaceDN/>
              <w:adjustRightInd/>
              <w:rPr>
                <w:rFonts w:eastAsiaTheme="minorHAnsi" w:cstheme="minorBidi"/>
                <w:szCs w:val="22"/>
              </w:rPr>
            </w:pPr>
          </w:p>
          <w:p w14:paraId="2380B2E3" w14:textId="77777777" w:rsidR="00135F49" w:rsidRPr="00135F49" w:rsidRDefault="00135F49" w:rsidP="00135F49">
            <w:pPr>
              <w:widowControl/>
              <w:autoSpaceDE/>
              <w:autoSpaceDN/>
              <w:adjustRightInd/>
              <w:rPr>
                <w:rFonts w:eastAsiaTheme="minorHAnsi" w:cstheme="minorBidi"/>
                <w:szCs w:val="22"/>
              </w:rPr>
            </w:pPr>
            <w:r w:rsidRPr="00135F49">
              <w:rPr>
                <w:rFonts w:eastAsiaTheme="minorHAnsi" w:cstheme="minorBidi"/>
                <w:szCs w:val="22"/>
              </w:rPr>
              <w:t>EL22-</w:t>
            </w:r>
            <w:r w:rsidRPr="00135F49">
              <w:rPr>
                <w:rFonts w:cstheme="minorBidi"/>
              </w:rPr>
              <w:t>22</w:t>
            </w:r>
            <w:r w:rsidRPr="00135F49">
              <w:rPr>
                <w:rFonts w:eastAsiaTheme="minorHAnsi" w:cstheme="minorBidi"/>
                <w:szCs w:val="22"/>
              </w:rPr>
              <w:t>-000</w:t>
            </w:r>
          </w:p>
        </w:tc>
      </w:tr>
    </w:tbl>
    <w:p w14:paraId="2060D755" w14:textId="77777777" w:rsidR="00135F49" w:rsidRPr="00135F49" w:rsidRDefault="00135F49" w:rsidP="00135F49">
      <w:pPr>
        <w:jc w:val="center"/>
      </w:pPr>
    </w:p>
    <w:p w14:paraId="3E318D61" w14:textId="11FA8C47" w:rsidR="00135F49" w:rsidRPr="00135F49" w:rsidRDefault="00135F49" w:rsidP="00135F49">
      <w:pPr>
        <w:jc w:val="center"/>
      </w:pPr>
      <w:r w:rsidRPr="00135F49">
        <w:t>(Issued January 2</w:t>
      </w:r>
      <w:r w:rsidR="00BC76E0">
        <w:t>1</w:t>
      </w:r>
      <w:r w:rsidRPr="00135F49">
        <w:t>, 2022)</w:t>
      </w:r>
    </w:p>
    <w:p w14:paraId="0E09903E" w14:textId="77777777" w:rsidR="00135F49" w:rsidRPr="00135F49" w:rsidRDefault="00135F49" w:rsidP="00135F49">
      <w:pPr>
        <w:rPr>
          <w:bCs/>
        </w:rPr>
      </w:pPr>
    </w:p>
    <w:p w14:paraId="1FEF5160" w14:textId="77777777" w:rsidR="00135F49" w:rsidRPr="00135F49" w:rsidRDefault="00135F49" w:rsidP="00135F49">
      <w:pPr>
        <w:rPr>
          <w:bCs/>
        </w:rPr>
      </w:pPr>
      <w:bookmarkStart w:id="2" w:name="Commissioner"/>
      <w:bookmarkEnd w:id="2"/>
      <w:r w:rsidRPr="00135F49">
        <w:rPr>
          <w:bCs/>
        </w:rPr>
        <w:t xml:space="preserve">DANLY, Commissioner, </w:t>
      </w:r>
      <w:r w:rsidRPr="00135F49">
        <w:rPr>
          <w:bCs/>
          <w:i/>
        </w:rPr>
        <w:t>concurring</w:t>
      </w:r>
      <w:r w:rsidRPr="00135F49">
        <w:rPr>
          <w:bCs/>
        </w:rPr>
        <w:t>:</w:t>
      </w:r>
      <w:bookmarkStart w:id="3" w:name="Action1"/>
      <w:bookmarkEnd w:id="3"/>
    </w:p>
    <w:p w14:paraId="3B1181DA" w14:textId="77777777" w:rsidR="00135F49" w:rsidRPr="00135F49" w:rsidRDefault="00135F49" w:rsidP="00135F49">
      <w:pPr>
        <w:tabs>
          <w:tab w:val="left" w:pos="2320"/>
        </w:tabs>
        <w:rPr>
          <w:bCs/>
        </w:rPr>
      </w:pPr>
      <w:r w:rsidRPr="00135F49">
        <w:rPr>
          <w:bCs/>
        </w:rPr>
        <w:tab/>
      </w:r>
    </w:p>
    <w:p w14:paraId="29AF67F5" w14:textId="77777777" w:rsidR="00135F49" w:rsidRPr="00135F49" w:rsidRDefault="00135F49" w:rsidP="00620A7D">
      <w:pPr>
        <w:pStyle w:val="FERCparanumber"/>
        <w:numPr>
          <w:ilvl w:val="0"/>
          <w:numId w:val="26"/>
        </w:numPr>
        <w:spacing w:after="240"/>
      </w:pPr>
      <w:r w:rsidRPr="00135F49">
        <w:t>“Competitive power markets simply cannot attract the capital needed to build adequate generating infrastructure without regulatory certainty . . . .”</w:t>
      </w:r>
      <w:r w:rsidRPr="00135F49">
        <w:rPr>
          <w:b/>
          <w:vertAlign w:val="superscript"/>
        </w:rPr>
        <w:footnoteReference w:id="16"/>
      </w:r>
      <w:r w:rsidRPr="00135F49">
        <w:t xml:space="preserve">  So cautioned the Commission in 2002, and twenty years later the Commission’s orders have so interfered with PJM Interconnection L.L.C.’s (PJM) markets that PJM routinely has to delay capacity auctions to sort out which rules still apply and which rules are defunct, obsolete, or superseded.  Power markets simply cannot function when the rules constantly change, and for that, the blame lies squarely with the Commission.</w:t>
      </w:r>
    </w:p>
    <w:p w14:paraId="4933DAB9" w14:textId="77777777" w:rsidR="00135F49" w:rsidRPr="00135F49" w:rsidRDefault="00135F49" w:rsidP="00135F49">
      <w:pPr>
        <w:widowControl/>
        <w:numPr>
          <w:ilvl w:val="0"/>
          <w:numId w:val="11"/>
        </w:numPr>
        <w:spacing w:after="240"/>
      </w:pPr>
      <w:r w:rsidRPr="00135F49">
        <w:t>I concur in today’s order rejecting nine separate filings of alternative market seller offer caps.  We cannot determine whether the sellers remain entitled to have alternative market seller offer caps given our past order requiring unit-specific review of all seller offers.</w:t>
      </w:r>
      <w:r w:rsidRPr="00135F49">
        <w:rPr>
          <w:b/>
          <w:vertAlign w:val="superscript"/>
        </w:rPr>
        <w:footnoteReference w:id="17"/>
      </w:r>
      <w:r w:rsidRPr="00135F49">
        <w:t xml:space="preserve">  We are not the only ones who cannot figure it out.  For the same reasons, I </w:t>
      </w:r>
      <w:r w:rsidRPr="00135F49">
        <w:lastRenderedPageBreak/>
        <w:t>support a show cause order to determine what our own rulings have done to section 6.4(a) of Attachment DD to the PJM Open Access Transmission Tariff.</w:t>
      </w:r>
      <w:r w:rsidRPr="00135F49">
        <w:rPr>
          <w:b/>
          <w:vertAlign w:val="superscript"/>
        </w:rPr>
        <w:footnoteReference w:id="18"/>
      </w:r>
    </w:p>
    <w:p w14:paraId="655AD84D" w14:textId="77777777" w:rsidR="00135F49" w:rsidRPr="00135F49" w:rsidRDefault="00135F49" w:rsidP="00135F49">
      <w:pPr>
        <w:widowControl/>
        <w:numPr>
          <w:ilvl w:val="0"/>
          <w:numId w:val="11"/>
        </w:numPr>
        <w:spacing w:after="240"/>
      </w:pPr>
      <w:r w:rsidRPr="00135F49">
        <w:t>I write separately to highlight that for every dollar my colleagues think they are saving ratepayers by eviscerating the buyer-side market mitigation measures we had recently expanded,</w:t>
      </w:r>
      <w:r w:rsidRPr="00135F49">
        <w:rPr>
          <w:b/>
          <w:vertAlign w:val="superscript"/>
        </w:rPr>
        <w:footnoteReference w:id="19"/>
      </w:r>
      <w:r w:rsidRPr="00135F49">
        <w:t xml:space="preserve"> or imposing the Independent Market Monitor’s (IMM) unit-specific review of all seller offers (thereby supplanting scores of carefully vetted and balanced offer provisions, including the ones at issue in today’s order),</w:t>
      </w:r>
      <w:r w:rsidRPr="00135F49">
        <w:rPr>
          <w:b/>
          <w:vertAlign w:val="superscript"/>
        </w:rPr>
        <w:footnoteReference w:id="20"/>
      </w:r>
      <w:r w:rsidRPr="00135F49">
        <w:t xml:space="preserve"> or reversing ourselves on the inclusion of a 10% adder in the modeled energy market offers of the Reference Resource used to establish the Variable Resource Requirement Curve (the demand curve),</w:t>
      </w:r>
      <w:r w:rsidRPr="00135F49">
        <w:rPr>
          <w:b/>
          <w:vertAlign w:val="superscript"/>
        </w:rPr>
        <w:footnoteReference w:id="21"/>
      </w:r>
      <w:r w:rsidRPr="00135F49">
        <w:t xml:space="preserve"> or seeking voluntary remand from an appellate court to reverse ourselves on less than two-year-old orders finding that the Reserve Penalty Factors and two-step Operating Reserve Demand Curves (ORDCs) are unjust and unreasonable and consequently overturning the determination that the prior backward-looking energy and ancillary services offset (E&amp;AS Offset) is unjust and unreasonable,</w:t>
      </w:r>
      <w:r w:rsidRPr="00135F49">
        <w:rPr>
          <w:b/>
          <w:vertAlign w:val="superscript"/>
        </w:rPr>
        <w:footnoteReference w:id="22"/>
      </w:r>
      <w:r w:rsidRPr="00135F49">
        <w:t xml:space="preserve"> we also impose ever-mounting regulatory risk.</w:t>
      </w:r>
    </w:p>
    <w:p w14:paraId="6928EDCB" w14:textId="77777777" w:rsidR="00135F49" w:rsidRPr="00135F49" w:rsidRDefault="00135F49" w:rsidP="00135F49">
      <w:pPr>
        <w:widowControl/>
        <w:numPr>
          <w:ilvl w:val="0"/>
          <w:numId w:val="11"/>
        </w:numPr>
        <w:spacing w:after="240"/>
      </w:pPr>
      <w:r w:rsidRPr="00135F49">
        <w:t xml:space="preserve">Greater risk means greater costs, means more expensive power, means higher rates.  In most markets, the cost of risk is passed on to customers.  But we do not allow capacity sellers in PJM to offer according to their own assessment of risk, including the very real risk that the Commission will change fundamental market design elements immediately ahead of the next auction.  We instead impose upon sellers the risk assessment of the IMM (who has himself assumed no risk), with PJM acting as the arbiter </w:t>
      </w:r>
      <w:r w:rsidRPr="00135F49">
        <w:lastRenderedPageBreak/>
        <w:t>of whether the seller’s or the IMM’s offer (and therefore risk assessment) will be allowed.</w:t>
      </w:r>
      <w:r w:rsidRPr="00135F49">
        <w:rPr>
          <w:b/>
          <w:vertAlign w:val="superscript"/>
        </w:rPr>
        <w:footnoteReference w:id="23"/>
      </w:r>
    </w:p>
    <w:p w14:paraId="62376D32" w14:textId="77777777" w:rsidR="00135F49" w:rsidRPr="00135F49" w:rsidRDefault="00135F49" w:rsidP="00135F49">
      <w:pPr>
        <w:widowControl/>
        <w:numPr>
          <w:ilvl w:val="0"/>
          <w:numId w:val="11"/>
        </w:numPr>
        <w:spacing w:after="240"/>
      </w:pPr>
      <w:r w:rsidRPr="00135F49">
        <w:t>The result is that the Commission creates unfettered regulatory risk and then sets it up so that sellers likely can only offer what the IMM tells them they can offer.  This structure is not a market.  It also is unsustainable.  It “simply cannot attract the capital needed to build adequate generating infrastructure,”</w:t>
      </w:r>
      <w:r w:rsidRPr="00135F49">
        <w:rPr>
          <w:b/>
          <w:vertAlign w:val="superscript"/>
        </w:rPr>
        <w:footnoteReference w:id="24"/>
      </w:r>
      <w:r w:rsidRPr="00135F49">
        <w:t xml:space="preserve"> and the eventual result will be reliability crises, bankruptcies, and an eventual full retreat to cost-of-service ratemaking.  Who does it ultimately harm the most?  Ratepayers.</w:t>
      </w:r>
    </w:p>
    <w:p w14:paraId="0364F8F3" w14:textId="77777777" w:rsidR="00135F49" w:rsidRPr="00135F49" w:rsidRDefault="00135F49" w:rsidP="00135F49">
      <w:pPr>
        <w:ind w:firstLine="720"/>
      </w:pPr>
      <w:r w:rsidRPr="00135F49">
        <w:t>For these reasons, I respectfully concur.</w:t>
      </w:r>
    </w:p>
    <w:p w14:paraId="53AF3753" w14:textId="77777777" w:rsidR="00135F49" w:rsidRPr="00135F49" w:rsidRDefault="00135F49" w:rsidP="00135F49"/>
    <w:p w14:paraId="03EA5C13" w14:textId="77777777" w:rsidR="00135F49" w:rsidRPr="00135F49" w:rsidRDefault="00135F49" w:rsidP="00135F49"/>
    <w:p w14:paraId="50DAEE1D" w14:textId="77777777" w:rsidR="00135F49" w:rsidRPr="00135F49" w:rsidRDefault="00135F49" w:rsidP="00135F49">
      <w:r w:rsidRPr="00135F49">
        <w:t>________________________</w:t>
      </w:r>
    </w:p>
    <w:p w14:paraId="79EDA4A0" w14:textId="77777777" w:rsidR="00135F49" w:rsidRPr="00135F49" w:rsidRDefault="00135F49" w:rsidP="00135F49">
      <w:r w:rsidRPr="00135F49">
        <w:t>James P. Danly</w:t>
      </w:r>
    </w:p>
    <w:p w14:paraId="2CD18304" w14:textId="77777777" w:rsidR="00135F49" w:rsidRPr="00135F49" w:rsidRDefault="00135F49" w:rsidP="00135F49">
      <w:r w:rsidRPr="00135F49">
        <w:t>Commissioner</w:t>
      </w:r>
    </w:p>
    <w:p w14:paraId="0405E53C" w14:textId="77777777" w:rsidR="00185776" w:rsidRPr="0003382F" w:rsidRDefault="00185776" w:rsidP="0003382F"/>
    <w:sectPr w:rsidR="00185776" w:rsidRPr="0003382F" w:rsidSect="00DC60C5">
      <w:headerReference w:type="even" r:id="rId18"/>
      <w:headerReference w:type="default" r:id="rId19"/>
      <w:footerReference w:type="default" r:id="rId20"/>
      <w:headerReference w:type="first" r:id="rId21"/>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FFEF7" w14:textId="77777777" w:rsidR="00820BC8" w:rsidRDefault="00820BC8" w:rsidP="0048020B">
      <w:r>
        <w:separator/>
      </w:r>
    </w:p>
  </w:endnote>
  <w:endnote w:type="continuationSeparator" w:id="0">
    <w:p w14:paraId="34A5C5F6" w14:textId="77777777" w:rsidR="00820BC8" w:rsidRDefault="00820BC8" w:rsidP="0048020B">
      <w:r>
        <w:continuationSeparator/>
      </w:r>
    </w:p>
  </w:endnote>
  <w:endnote w:type="continuationNotice" w:id="1">
    <w:p w14:paraId="102C1356" w14:textId="77777777" w:rsidR="00820BC8" w:rsidRDefault="00820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E85E" w14:textId="77777777" w:rsidR="00131F06" w:rsidRDefault="00131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D080" w14:textId="77777777" w:rsidR="00131F06" w:rsidRDefault="00131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D9504" w14:textId="77777777" w:rsidR="00131F06" w:rsidRDefault="00131F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391593"/>
      <w:docPartObj>
        <w:docPartGallery w:val="Page Numbers (Bottom of Page)"/>
        <w:docPartUnique/>
      </w:docPartObj>
    </w:sdtPr>
    <w:sdtEndPr>
      <w:rPr>
        <w:noProof/>
      </w:rPr>
    </w:sdtEndPr>
    <w:sdtContent>
      <w:p w14:paraId="0D116A3E" w14:textId="442EFBAB" w:rsidR="008F4AE2" w:rsidRDefault="00131F06">
        <w:pPr>
          <w:pStyle w:val="Footer"/>
          <w:jc w:val="center"/>
        </w:pPr>
      </w:p>
    </w:sdtContent>
  </w:sdt>
  <w:p w14:paraId="702580AC" w14:textId="77777777" w:rsidR="00BD10F6" w:rsidRDefault="0013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7D5E8" w14:textId="77777777" w:rsidR="00820BC8" w:rsidRDefault="00820BC8" w:rsidP="0048020B">
      <w:r>
        <w:separator/>
      </w:r>
    </w:p>
  </w:footnote>
  <w:footnote w:type="continuationSeparator" w:id="0">
    <w:p w14:paraId="199AA3F4" w14:textId="77777777" w:rsidR="00820BC8" w:rsidRDefault="00820BC8" w:rsidP="0048020B">
      <w:r>
        <w:continuationSeparator/>
      </w:r>
    </w:p>
  </w:footnote>
  <w:footnote w:type="continuationNotice" w:id="1">
    <w:p w14:paraId="2F59CDDB" w14:textId="77777777" w:rsidR="00820BC8" w:rsidRPr="00CD548B" w:rsidRDefault="00820BC8" w:rsidP="00CD548B">
      <w:pPr>
        <w:spacing w:line="14" w:lineRule="exact"/>
        <w:rPr>
          <w:sz w:val="2"/>
        </w:rPr>
      </w:pPr>
    </w:p>
  </w:footnote>
  <w:footnote w:id="2">
    <w:p w14:paraId="73EAA92F" w14:textId="77777777" w:rsidR="00820BC8" w:rsidRDefault="00820BC8">
      <w:pPr>
        <w:pStyle w:val="FootnoteText"/>
      </w:pPr>
      <w:r>
        <w:rPr>
          <w:rStyle w:val="FootnoteReference"/>
        </w:rPr>
        <w:footnoteRef/>
      </w:r>
      <w:r>
        <w:t xml:space="preserve"> 16 U.S.C. </w:t>
      </w:r>
      <w:r w:rsidRPr="00C91F08">
        <w:t>§ 824d</w:t>
      </w:r>
      <w:r>
        <w:t>.</w:t>
      </w:r>
    </w:p>
  </w:footnote>
  <w:footnote w:id="3">
    <w:p w14:paraId="0C695CA6" w14:textId="77777777" w:rsidR="00820BC8" w:rsidRDefault="00820BC8">
      <w:pPr>
        <w:pStyle w:val="FootnoteText"/>
      </w:pPr>
      <w:r>
        <w:rPr>
          <w:rStyle w:val="FootnoteReference"/>
        </w:rPr>
        <w:footnoteRef/>
      </w:r>
      <w:r>
        <w:t xml:space="preserve"> 18 C.F.R. pt. 35 (2021).</w:t>
      </w:r>
    </w:p>
  </w:footnote>
  <w:footnote w:id="4">
    <w:p w14:paraId="4114076C" w14:textId="77777777" w:rsidR="00820BC8" w:rsidRDefault="00820BC8">
      <w:pPr>
        <w:pStyle w:val="FootnoteText"/>
      </w:pPr>
      <w:r>
        <w:rPr>
          <w:rStyle w:val="FootnoteReference"/>
        </w:rPr>
        <w:footnoteRef/>
      </w:r>
      <w:r>
        <w:t xml:space="preserve"> </w:t>
      </w:r>
      <w:r w:rsidRPr="00A91D2B">
        <w:t xml:space="preserve">PJM, Intra-PJM Tariffs, OATT, </w:t>
      </w:r>
      <w:r w:rsidR="000741E8">
        <w:t>a</w:t>
      </w:r>
      <w:r w:rsidRPr="00A91D2B">
        <w:t>ttach. M-</w:t>
      </w:r>
      <w:r w:rsidR="000741E8">
        <w:t>a</w:t>
      </w:r>
      <w:r w:rsidRPr="00A91D2B">
        <w:t>pp</w:t>
      </w:r>
      <w:r w:rsidR="000741E8">
        <w:t>.</w:t>
      </w:r>
      <w:r w:rsidRPr="00A91D2B">
        <w:t xml:space="preserve"> (22.0.0), § II.E.3.</w:t>
      </w:r>
    </w:p>
  </w:footnote>
  <w:footnote w:id="5">
    <w:p w14:paraId="386DA023" w14:textId="77777777" w:rsidR="00820BC8" w:rsidRDefault="00820BC8">
      <w:pPr>
        <w:pStyle w:val="FootnoteText"/>
      </w:pPr>
      <w:r>
        <w:rPr>
          <w:rStyle w:val="FootnoteReference"/>
        </w:rPr>
        <w:footnoteRef/>
      </w:r>
      <w:r>
        <w:t xml:space="preserve"> </w:t>
      </w:r>
      <w:r w:rsidRPr="00C143AB">
        <w:rPr>
          <w:i/>
          <w:iCs/>
        </w:rPr>
        <w:t>Id.</w:t>
      </w:r>
      <w:r>
        <w:t xml:space="preserve"> at </w:t>
      </w:r>
      <w:r w:rsidR="000741E8">
        <w:t>a</w:t>
      </w:r>
      <w:r w:rsidRPr="00A91D2B">
        <w:t>ttach. DD, § 6.4 Market Seller Offer Caps (0.0.0), § 6.4(a)</w:t>
      </w:r>
      <w:r>
        <w:t>.</w:t>
      </w:r>
    </w:p>
  </w:footnote>
  <w:footnote w:id="6">
    <w:p w14:paraId="60A539C0" w14:textId="77777777" w:rsidR="00820BC8" w:rsidRDefault="00820BC8">
      <w:pPr>
        <w:pStyle w:val="FootnoteText"/>
      </w:pPr>
      <w:r>
        <w:rPr>
          <w:rStyle w:val="FootnoteReference"/>
        </w:rPr>
        <w:footnoteRef/>
      </w:r>
      <w:r>
        <w:t xml:space="preserve"> The letter agreements were filed pursuant to section 205 of the FPA, Part 35 of the Commission’s Rules of Practice and Procedure, and </w:t>
      </w:r>
      <w:r w:rsidRPr="002565BC">
        <w:t xml:space="preserve">section II.E.3 of </w:t>
      </w:r>
      <w:r w:rsidR="000741E8">
        <w:t>a</w:t>
      </w:r>
      <w:r w:rsidRPr="002565BC">
        <w:t>ttach</w:t>
      </w:r>
      <w:r w:rsidR="000741E8">
        <w:t>.</w:t>
      </w:r>
      <w:r w:rsidRPr="002565BC">
        <w:t xml:space="preserve"> M-</w:t>
      </w:r>
      <w:r w:rsidR="000741E8">
        <w:t>a</w:t>
      </w:r>
      <w:r w:rsidRPr="002565BC">
        <w:t>pp</w:t>
      </w:r>
      <w:r w:rsidR="000741E8">
        <w:t>.</w:t>
      </w:r>
      <w:r w:rsidRPr="002565BC">
        <w:t xml:space="preserve"> and section 6.4(a) of </w:t>
      </w:r>
      <w:r w:rsidR="000741E8">
        <w:t>a</w:t>
      </w:r>
      <w:r w:rsidRPr="002565BC">
        <w:t>ttach</w:t>
      </w:r>
      <w:r w:rsidR="000741E8">
        <w:t>.</w:t>
      </w:r>
      <w:r w:rsidRPr="002565BC">
        <w:t xml:space="preserve"> DD to the Tariff</w:t>
      </w:r>
      <w:r>
        <w:t>, with the exception of EF Kenilworth, LLC and Energy Center Dover, LLC, whose letter agreements were filed pursuant only to section 6.4(a) and section II.E.3 of the Tariff.  We note that, while the letter agreements were filed individually, for purposes of readability of this order we refer to the filers jointly as Sellers.</w:t>
      </w:r>
    </w:p>
  </w:footnote>
  <w:footnote w:id="7">
    <w:p w14:paraId="3DA56F30" w14:textId="77777777" w:rsidR="00820BC8" w:rsidRDefault="00820BC8">
      <w:pPr>
        <w:pStyle w:val="FootnoteText"/>
      </w:pPr>
      <w:r>
        <w:rPr>
          <w:rStyle w:val="FootnoteReference"/>
        </w:rPr>
        <w:footnoteRef/>
      </w:r>
      <w:r>
        <w:t xml:space="preserve"> 16 U.S.C. § 824e.</w:t>
      </w:r>
    </w:p>
  </w:footnote>
  <w:footnote w:id="8">
    <w:p w14:paraId="0EA7689F" w14:textId="77777777" w:rsidR="00820BC8" w:rsidRDefault="00820BC8" w:rsidP="00715479">
      <w:pPr>
        <w:pStyle w:val="FootnoteText"/>
      </w:pPr>
      <w:r>
        <w:rPr>
          <w:rStyle w:val="FootnoteReference"/>
        </w:rPr>
        <w:footnoteRef/>
      </w:r>
      <w:r>
        <w:t xml:space="preserve"> </w:t>
      </w:r>
      <w:bookmarkStart w:id="1" w:name="_Hlk92194318"/>
      <w:r>
        <w:t>PJM</w:t>
      </w:r>
      <w:r w:rsidRPr="00F67F1F">
        <w:t xml:space="preserve">, Intra-PJM Tariffs, OATT, </w:t>
      </w:r>
      <w:r w:rsidR="005A5866">
        <w:t>a</w:t>
      </w:r>
      <w:r w:rsidRPr="00F67F1F">
        <w:t>ttach. DD, §</w:t>
      </w:r>
      <w:r>
        <w:t> </w:t>
      </w:r>
      <w:r w:rsidRPr="00F67F1F">
        <w:t>6.4 Market Seller Offer Caps (0.0.0), §</w:t>
      </w:r>
      <w:r>
        <w:t> </w:t>
      </w:r>
      <w:r w:rsidRPr="00F67F1F">
        <w:t xml:space="preserve">6.4(a) </w:t>
      </w:r>
      <w:bookmarkEnd w:id="1"/>
      <w:r w:rsidRPr="00F67F1F">
        <w:t>(emphasis added)</w:t>
      </w:r>
      <w:r>
        <w:t xml:space="preserve">; </w:t>
      </w:r>
      <w:r w:rsidRPr="00C143AB">
        <w:rPr>
          <w:i/>
          <w:iCs/>
        </w:rPr>
        <w:t>id.</w:t>
      </w:r>
      <w:r>
        <w:t xml:space="preserve"> at </w:t>
      </w:r>
      <w:r w:rsidR="005A5866">
        <w:t>a</w:t>
      </w:r>
      <w:r w:rsidRPr="00665771">
        <w:t>ttach. M-</w:t>
      </w:r>
      <w:r w:rsidR="005A5866">
        <w:t>a</w:t>
      </w:r>
      <w:r w:rsidRPr="00665771">
        <w:t>pp</w:t>
      </w:r>
      <w:r w:rsidR="005A5866">
        <w:t>.</w:t>
      </w:r>
      <w:r w:rsidRPr="00665771">
        <w:t xml:space="preserve"> (22.0.0), § II.E.3.</w:t>
      </w:r>
    </w:p>
  </w:footnote>
  <w:footnote w:id="9">
    <w:p w14:paraId="4765499E" w14:textId="77777777" w:rsidR="00820BC8" w:rsidRDefault="00820BC8" w:rsidP="00FA727F">
      <w:pPr>
        <w:pStyle w:val="FootnoteText"/>
      </w:pPr>
      <w:r w:rsidRPr="008B3FA0">
        <w:rPr>
          <w:rStyle w:val="FootnoteReference"/>
        </w:rPr>
        <w:footnoteRef/>
      </w:r>
      <w:r>
        <w:t xml:space="preserve"> </w:t>
      </w:r>
      <w:r w:rsidRPr="002A6310">
        <w:t>18 C.F.R. § 385.214</w:t>
      </w:r>
      <w:r>
        <w:t xml:space="preserve"> (2021).</w:t>
      </w:r>
    </w:p>
  </w:footnote>
  <w:footnote w:id="10">
    <w:p w14:paraId="13C61289" w14:textId="77777777" w:rsidR="00820BC8" w:rsidRDefault="00820BC8">
      <w:pPr>
        <w:pStyle w:val="FootnoteText"/>
      </w:pPr>
      <w:r>
        <w:rPr>
          <w:rStyle w:val="FootnoteReference"/>
        </w:rPr>
        <w:footnoteRef/>
      </w:r>
      <w:r>
        <w:t xml:space="preserve"> </w:t>
      </w:r>
      <w:r w:rsidRPr="006B1950">
        <w:t xml:space="preserve">PJM, Intra-PJM Tariffs, OATT, </w:t>
      </w:r>
      <w:r w:rsidR="00A16819">
        <w:t>a</w:t>
      </w:r>
      <w:r w:rsidRPr="006B1950">
        <w:t>ttach. DD, § 6.4 Market Seller Offer Caps (0.0.0), § 6.4(a)</w:t>
      </w:r>
      <w:r>
        <w:t>.</w:t>
      </w:r>
    </w:p>
  </w:footnote>
  <w:footnote w:id="11">
    <w:p w14:paraId="30C1C6F8" w14:textId="77777777" w:rsidR="00820BC8" w:rsidRPr="00522D1E" w:rsidRDefault="00820BC8">
      <w:pPr>
        <w:pStyle w:val="FootnoteText"/>
      </w:pPr>
      <w:r>
        <w:rPr>
          <w:rStyle w:val="FootnoteReference"/>
        </w:rPr>
        <w:footnoteRef/>
      </w:r>
      <w:r>
        <w:t xml:space="preserve"> Further, on December 22, 2021, the Commission issued an order directing PJM to revert to backward-looking </w:t>
      </w:r>
      <w:r w:rsidRPr="008F4529">
        <w:t>net E&amp;AS revenue</w:t>
      </w:r>
      <w:r>
        <w:t xml:space="preserve"> offsets for the 2023/2024 delivery year BRA.  The Commission directed PJM to submit a compliance filing within 30 days of the date of the order proposing a new schedule for the BRA to accommodate the changes.  </w:t>
      </w:r>
      <w:r>
        <w:rPr>
          <w:i/>
          <w:iCs/>
        </w:rPr>
        <w:t>PJM Interconnection, L.L.C.</w:t>
      </w:r>
      <w:r>
        <w:t xml:space="preserve">, </w:t>
      </w:r>
      <w:r w:rsidRPr="00522D1E">
        <w:t>177 FERC ¶ 61,209</w:t>
      </w:r>
      <w:r w:rsidR="00DF673F">
        <w:t>,</w:t>
      </w:r>
      <w:r>
        <w:t xml:space="preserve"> at P 2 (2021).</w:t>
      </w:r>
    </w:p>
  </w:footnote>
  <w:footnote w:id="12">
    <w:p w14:paraId="14FAF096" w14:textId="77777777" w:rsidR="00820BC8" w:rsidRDefault="00820BC8" w:rsidP="00DC14AA">
      <w:pPr>
        <w:pStyle w:val="FootnoteText"/>
      </w:pPr>
      <w:r>
        <w:rPr>
          <w:rStyle w:val="FootnoteReference"/>
        </w:rPr>
        <w:footnoteRef/>
      </w:r>
      <w:r>
        <w:t xml:space="preserve"> Specifically, this portion of PJM Tariff, </w:t>
      </w:r>
      <w:r w:rsidR="00B23E30">
        <w:t>a</w:t>
      </w:r>
      <w:r>
        <w:t xml:space="preserve">ttach. DD § 6.4(a) states:  </w:t>
      </w:r>
    </w:p>
    <w:p w14:paraId="79EC71D2" w14:textId="77777777" w:rsidR="00820BC8" w:rsidRDefault="00820BC8" w:rsidP="003C0F10">
      <w:pPr>
        <w:pStyle w:val="FootnoteText"/>
        <w:spacing w:after="240"/>
        <w:ind w:left="1440" w:right="1440" w:firstLine="0"/>
        <w:rPr>
          <w:b/>
        </w:rPr>
      </w:pPr>
      <w:r w:rsidRPr="00ED03FA">
        <w:t xml:space="preserve">Nothing herein shall preclude any Capacity Market Seller and the Market Monitoring Unit from agreeing to, nor require either such entity to agree to, an alternative market seller offer cap determined on a mutually agreeable basis. </w:t>
      </w:r>
      <w:r>
        <w:t xml:space="preserve"> </w:t>
      </w:r>
      <w:r w:rsidRPr="00ED03FA">
        <w:t>Any such alternative offer cap shall be filed with the Commission for its approval.</w:t>
      </w:r>
      <w:r>
        <w:t xml:space="preserve">  </w:t>
      </w:r>
      <w:r w:rsidRPr="001755D3">
        <w:t>This provision is duplicated in Tariff, Attachment M-Appendix, section II.E.3.</w:t>
      </w:r>
      <w:r>
        <w:rPr>
          <w:b/>
        </w:rPr>
        <w:t xml:space="preserve">  </w:t>
      </w:r>
    </w:p>
    <w:p w14:paraId="7ED7827E" w14:textId="77777777" w:rsidR="00820BC8" w:rsidRDefault="00820BC8" w:rsidP="00DC14AA">
      <w:pPr>
        <w:pStyle w:val="FootnoteText"/>
        <w:rPr>
          <w:bCs/>
        </w:rPr>
      </w:pPr>
      <w:r>
        <w:rPr>
          <w:bCs/>
        </w:rPr>
        <w:t xml:space="preserve">Tariff, </w:t>
      </w:r>
      <w:r w:rsidR="00B23E30">
        <w:rPr>
          <w:bCs/>
        </w:rPr>
        <w:t>a</w:t>
      </w:r>
      <w:r>
        <w:rPr>
          <w:bCs/>
        </w:rPr>
        <w:t>ttach</w:t>
      </w:r>
      <w:r w:rsidR="00B23E30">
        <w:rPr>
          <w:bCs/>
        </w:rPr>
        <w:t>.</w:t>
      </w:r>
      <w:r>
        <w:rPr>
          <w:bCs/>
        </w:rPr>
        <w:t xml:space="preserve"> M-</w:t>
      </w:r>
      <w:r w:rsidR="00B23E30">
        <w:rPr>
          <w:bCs/>
        </w:rPr>
        <w:t>a</w:t>
      </w:r>
      <w:r>
        <w:rPr>
          <w:bCs/>
        </w:rPr>
        <w:t>pp</w:t>
      </w:r>
      <w:r w:rsidR="00B23E30">
        <w:rPr>
          <w:bCs/>
        </w:rPr>
        <w:t>.</w:t>
      </w:r>
      <w:r>
        <w:rPr>
          <w:bCs/>
        </w:rPr>
        <w:t xml:space="preserve">, section II.E.3. similarly states: </w:t>
      </w:r>
    </w:p>
    <w:p w14:paraId="2CB609B2" w14:textId="77777777" w:rsidR="00820BC8" w:rsidRDefault="00820BC8" w:rsidP="00B23E30">
      <w:pPr>
        <w:pStyle w:val="FootnoteText"/>
        <w:spacing w:after="240"/>
        <w:ind w:left="1440" w:right="1440" w:firstLine="0"/>
      </w:pPr>
      <w:r w:rsidRPr="00A007B6">
        <w:t>Nothing herein shall preclude any</w:t>
      </w:r>
      <w:r>
        <w:t xml:space="preserve"> </w:t>
      </w:r>
      <w:r w:rsidRPr="00A007B6">
        <w:t>Capacity Market Seller</w:t>
      </w:r>
      <w:r>
        <w:t xml:space="preserve"> </w:t>
      </w:r>
      <w:r w:rsidRPr="00A007B6">
        <w:t>and the</w:t>
      </w:r>
      <w:r>
        <w:t xml:space="preserve"> </w:t>
      </w:r>
      <w:r w:rsidRPr="00A007B6">
        <w:t>Market Monitoring Unit</w:t>
      </w:r>
      <w:r>
        <w:t xml:space="preserve"> </w:t>
      </w:r>
      <w:r w:rsidRPr="00A007B6">
        <w:t>from agreeing to, nor require either such entity to agree to, an alternative market seller offer cap determined on a mutually agreeable basis.</w:t>
      </w:r>
      <w:r>
        <w:t xml:space="preserve"> </w:t>
      </w:r>
      <w:r w:rsidRPr="00A007B6">
        <w:t xml:space="preserve"> Any such alternative offer cap shall be filed with the</w:t>
      </w:r>
      <w:r>
        <w:t xml:space="preserve"> </w:t>
      </w:r>
      <w:r w:rsidRPr="00A007B6">
        <w:t>Commission</w:t>
      </w:r>
      <w:r>
        <w:t xml:space="preserve"> </w:t>
      </w:r>
      <w:r w:rsidRPr="00A007B6">
        <w:t>for its approval. This provision is duplicated in Tariff,</w:t>
      </w:r>
      <w:r>
        <w:t xml:space="preserve"> </w:t>
      </w:r>
      <w:r w:rsidRPr="00A007B6">
        <w:t>Attachment DD, section 6.4(a)</w:t>
      </w:r>
      <w:r>
        <w:t>.</w:t>
      </w:r>
    </w:p>
  </w:footnote>
  <w:footnote w:id="13">
    <w:p w14:paraId="5E9EB71F" w14:textId="77777777" w:rsidR="00820BC8" w:rsidRDefault="00820BC8">
      <w:pPr>
        <w:pStyle w:val="FootnoteText"/>
      </w:pPr>
      <w:r>
        <w:rPr>
          <w:rStyle w:val="FootnoteReference"/>
        </w:rPr>
        <w:footnoteRef/>
      </w:r>
      <w:r>
        <w:t xml:space="preserve"> PJM</w:t>
      </w:r>
      <w:r w:rsidRPr="00F67F1F">
        <w:t xml:space="preserve">, Intra-PJM Tariffs, OATT, </w:t>
      </w:r>
      <w:r w:rsidR="00B23E30">
        <w:t>a</w:t>
      </w:r>
      <w:r w:rsidRPr="00F67F1F">
        <w:t>ttach. DD, §</w:t>
      </w:r>
      <w:r>
        <w:t> </w:t>
      </w:r>
      <w:r w:rsidRPr="00F67F1F">
        <w:t>6.4 Market Seller Offer Caps (0.0.0), §§</w:t>
      </w:r>
      <w:r>
        <w:t> </w:t>
      </w:r>
      <w:r w:rsidRPr="00F67F1F">
        <w:t>6.4(a)</w:t>
      </w:r>
      <w:r>
        <w:t>, 6.4(b).</w:t>
      </w:r>
    </w:p>
  </w:footnote>
  <w:footnote w:id="14">
    <w:p w14:paraId="09E408B7" w14:textId="77777777" w:rsidR="00820BC8" w:rsidRPr="00ED049D" w:rsidRDefault="00820BC8" w:rsidP="005C7A16">
      <w:pPr>
        <w:pStyle w:val="FootnoteText"/>
        <w:widowControl/>
      </w:pPr>
      <w:r>
        <w:rPr>
          <w:rStyle w:val="FootnoteReference"/>
        </w:rPr>
        <w:footnoteRef/>
      </w:r>
      <w:r>
        <w:t xml:space="preserve"> 16 U.S.C. § 824e</w:t>
      </w:r>
      <w:r w:rsidRPr="00ED049D">
        <w:t>.</w:t>
      </w:r>
    </w:p>
  </w:footnote>
  <w:footnote w:id="15">
    <w:p w14:paraId="0C2F0FE7" w14:textId="77777777" w:rsidR="00820BC8" w:rsidRDefault="00820BC8" w:rsidP="005C7A16">
      <w:pPr>
        <w:pStyle w:val="FootnoteText"/>
        <w:widowControl/>
      </w:pPr>
      <w:r w:rsidRPr="00ED049D">
        <w:rPr>
          <w:rStyle w:val="FootnoteReference"/>
        </w:rPr>
        <w:footnoteRef/>
      </w:r>
      <w:r w:rsidRPr="00ED049D">
        <w:t xml:space="preserve"> 18 C.F.R. §</w:t>
      </w:r>
      <w:r>
        <w:t> </w:t>
      </w:r>
      <w:r w:rsidRPr="00ED049D">
        <w:t>385.209(a)</w:t>
      </w:r>
      <w:r w:rsidR="00B23E30">
        <w:t xml:space="preserve"> (2021)</w:t>
      </w:r>
      <w:r>
        <w:t>.</w:t>
      </w:r>
    </w:p>
  </w:footnote>
  <w:footnote w:id="16">
    <w:p w14:paraId="7C9BF1B6" w14:textId="77777777" w:rsidR="00135F49" w:rsidRDefault="00135F49" w:rsidP="00135F49">
      <w:pPr>
        <w:pStyle w:val="FootnoteText"/>
      </w:pPr>
      <w:r>
        <w:rPr>
          <w:rStyle w:val="FootnoteReference"/>
        </w:rPr>
        <w:footnoteRef/>
      </w:r>
      <w:r>
        <w:t xml:space="preserve"> </w:t>
      </w:r>
      <w:r w:rsidRPr="005D778E">
        <w:rPr>
          <w:i/>
          <w:iCs/>
        </w:rPr>
        <w:t>Nev</w:t>
      </w:r>
      <w:r>
        <w:rPr>
          <w:i/>
          <w:iCs/>
        </w:rPr>
        <w:t>.</w:t>
      </w:r>
      <w:r w:rsidRPr="005D778E">
        <w:rPr>
          <w:i/>
          <w:iCs/>
        </w:rPr>
        <w:t xml:space="preserve"> Power Co. v. Duke Energy Trading </w:t>
      </w:r>
      <w:r>
        <w:rPr>
          <w:i/>
          <w:iCs/>
        </w:rPr>
        <w:t>&amp;</w:t>
      </w:r>
      <w:r w:rsidRPr="005D778E">
        <w:rPr>
          <w:i/>
          <w:iCs/>
        </w:rPr>
        <w:t xml:space="preserve"> Mktg</w:t>
      </w:r>
      <w:r>
        <w:rPr>
          <w:i/>
          <w:iCs/>
        </w:rPr>
        <w:t>.</w:t>
      </w:r>
      <w:r w:rsidRPr="005D778E">
        <w:rPr>
          <w:i/>
          <w:iCs/>
        </w:rPr>
        <w:t>, L.L.C.</w:t>
      </w:r>
      <w:r w:rsidRPr="005D778E">
        <w:t xml:space="preserve">, 99 FERC </w:t>
      </w:r>
      <w:r>
        <w:t>¶ </w:t>
      </w:r>
      <w:r w:rsidRPr="005D778E">
        <w:t>61,047</w:t>
      </w:r>
      <w:r>
        <w:t>, at </w:t>
      </w:r>
      <w:r w:rsidRPr="005D778E">
        <w:t>61,190</w:t>
      </w:r>
      <w:r>
        <w:t xml:space="preserve">, </w:t>
      </w:r>
      <w:r>
        <w:rPr>
          <w:i/>
          <w:iCs/>
        </w:rPr>
        <w:t>order on reh’g</w:t>
      </w:r>
      <w:r w:rsidRPr="00775411">
        <w:t>,</w:t>
      </w:r>
      <w:r>
        <w:t xml:space="preserve"> 100 FERC ¶ 61,273 (2002)</w:t>
      </w:r>
      <w:r w:rsidRPr="005D778E">
        <w:t>.</w:t>
      </w:r>
    </w:p>
  </w:footnote>
  <w:footnote w:id="17">
    <w:p w14:paraId="0594DB57" w14:textId="77777777" w:rsidR="00135F49" w:rsidRDefault="00135F49" w:rsidP="00620A7D">
      <w:pPr>
        <w:pStyle w:val="FootnoteText"/>
        <w:ind w:right="-180"/>
      </w:pPr>
      <w:r>
        <w:rPr>
          <w:rStyle w:val="FootnoteReference"/>
        </w:rPr>
        <w:footnoteRef/>
      </w:r>
      <w:r>
        <w:t xml:space="preserve"> </w:t>
      </w:r>
      <w:r>
        <w:rPr>
          <w:i/>
          <w:iCs/>
        </w:rPr>
        <w:t>Indep. Mkt. Monitor for PJM v. PJM Interconnection, L.L.C.</w:t>
      </w:r>
      <w:r>
        <w:t xml:space="preserve">, 176 FERC ¶ 61,137 (2021) (Danly, Comm’r, </w:t>
      </w:r>
      <w:r w:rsidRPr="00BB1B5E">
        <w:t>dissenting</w:t>
      </w:r>
      <w:r>
        <w:t>).</w:t>
      </w:r>
    </w:p>
  </w:footnote>
  <w:footnote w:id="18">
    <w:p w14:paraId="3AAF54C6" w14:textId="77777777" w:rsidR="00135F49" w:rsidRDefault="00135F49" w:rsidP="00135F49">
      <w:pPr>
        <w:pStyle w:val="FootnoteText"/>
      </w:pPr>
      <w:r>
        <w:rPr>
          <w:rStyle w:val="FootnoteReference"/>
        </w:rPr>
        <w:footnoteRef/>
      </w:r>
      <w:r>
        <w:t xml:space="preserve"> </w:t>
      </w:r>
      <w:r w:rsidRPr="00BB1B5E">
        <w:t>PJM, Intra-PJM Tariffs, OATT,</w:t>
      </w:r>
      <w:r w:rsidRPr="0091003A">
        <w:rPr>
          <w:i/>
          <w:iCs/>
        </w:rPr>
        <w:t xml:space="preserve"> </w:t>
      </w:r>
      <w:r>
        <w:t>A</w:t>
      </w:r>
      <w:r w:rsidRPr="00A91D2B">
        <w:t>ttach. DD, §</w:t>
      </w:r>
      <w:r>
        <w:t> </w:t>
      </w:r>
      <w:r w:rsidRPr="00A91D2B">
        <w:t>6.4 Market Seller Offer Caps (0.0.0), §</w:t>
      </w:r>
      <w:r>
        <w:t> </w:t>
      </w:r>
      <w:r w:rsidRPr="00A91D2B">
        <w:t>6.4(a)</w:t>
      </w:r>
      <w:r>
        <w:t xml:space="preserve">; </w:t>
      </w:r>
      <w:r>
        <w:rPr>
          <w:i/>
          <w:iCs/>
        </w:rPr>
        <w:t>see also Talen Energy Mktg., LLC</w:t>
      </w:r>
      <w:r>
        <w:t xml:space="preserve">, </w:t>
      </w:r>
      <w:r w:rsidRPr="00BD0E8B">
        <w:t>178 FERC ¶ 61,021</w:t>
      </w:r>
      <w:r>
        <w:t xml:space="preserve"> (2022) (proposing to eliminate portions of same).</w:t>
      </w:r>
    </w:p>
  </w:footnote>
  <w:footnote w:id="19">
    <w:p w14:paraId="7354044C" w14:textId="77777777" w:rsidR="00135F49" w:rsidRPr="00022D1B" w:rsidRDefault="00135F49" w:rsidP="00135F49">
      <w:pPr>
        <w:pStyle w:val="FootnoteText"/>
      </w:pPr>
      <w:r>
        <w:rPr>
          <w:rStyle w:val="FootnoteReference"/>
        </w:rPr>
        <w:footnoteRef/>
      </w:r>
      <w:r>
        <w:t xml:space="preserve"> </w:t>
      </w:r>
      <w:r>
        <w:rPr>
          <w:i/>
          <w:iCs/>
        </w:rPr>
        <w:t xml:space="preserve">See </w:t>
      </w:r>
      <w:r>
        <w:t xml:space="preserve">September 29, 2021 Notice of Filing Taking Effect by Operation of Law, Docket No. ER21-2582-000; </w:t>
      </w:r>
      <w:r>
        <w:rPr>
          <w:i/>
          <w:iCs/>
        </w:rPr>
        <w:t xml:space="preserve">see also </w:t>
      </w:r>
      <w:r>
        <w:t>Statement of James P. Danly,</w:t>
      </w:r>
      <w:r w:rsidRPr="002E1939">
        <w:t xml:space="preserve"> </w:t>
      </w:r>
      <w:r>
        <w:t>Docket No. ER21-2582-000 (Oct. 27, 2021).</w:t>
      </w:r>
    </w:p>
  </w:footnote>
  <w:footnote w:id="20">
    <w:p w14:paraId="7935C5AD" w14:textId="77777777" w:rsidR="00135F49" w:rsidRPr="009716AF" w:rsidRDefault="00135F49" w:rsidP="00135F49">
      <w:pPr>
        <w:pStyle w:val="FootnoteText"/>
        <w:spacing w:before="240"/>
      </w:pPr>
      <w:r>
        <w:rPr>
          <w:rStyle w:val="FootnoteReference"/>
        </w:rPr>
        <w:footnoteRef/>
      </w:r>
      <w:r>
        <w:t xml:space="preserve"> </w:t>
      </w:r>
      <w:r>
        <w:rPr>
          <w:i/>
          <w:iCs/>
        </w:rPr>
        <w:t>See Indep. Mkt. Monitor for PJM v. PJM Interconnection, L.L.C.</w:t>
      </w:r>
      <w:r>
        <w:t xml:space="preserve">, 176 FERC ¶ 61,137 (Danly, Comm’r, </w:t>
      </w:r>
      <w:r w:rsidRPr="00BB1B5E">
        <w:t>dissenting</w:t>
      </w:r>
      <w:r>
        <w:t>).</w:t>
      </w:r>
    </w:p>
  </w:footnote>
  <w:footnote w:id="21">
    <w:p w14:paraId="1EED779C" w14:textId="77777777" w:rsidR="00135F49" w:rsidRPr="000B3EDC" w:rsidRDefault="00135F49" w:rsidP="00135F49">
      <w:pPr>
        <w:pStyle w:val="FootnoteText"/>
      </w:pPr>
      <w:r>
        <w:rPr>
          <w:rStyle w:val="FootnoteReference"/>
        </w:rPr>
        <w:footnoteRef/>
      </w:r>
      <w:r>
        <w:t xml:space="preserve"> </w:t>
      </w:r>
      <w:r>
        <w:rPr>
          <w:i/>
          <w:iCs/>
        </w:rPr>
        <w:t>PJM Interconnection, L.L.C.</w:t>
      </w:r>
      <w:r>
        <w:t xml:space="preserve">, </w:t>
      </w:r>
      <w:r w:rsidRPr="00BD0E8B">
        <w:t>178 FERC ¶ 61,020</w:t>
      </w:r>
      <w:r>
        <w:t xml:space="preserve"> (2022) (Danly, Comm’r, </w:t>
      </w:r>
      <w:r w:rsidRPr="00BB1B5E">
        <w:t>dissenting</w:t>
      </w:r>
      <w:r>
        <w:t>).</w:t>
      </w:r>
    </w:p>
  </w:footnote>
  <w:footnote w:id="22">
    <w:p w14:paraId="17125598" w14:textId="77777777" w:rsidR="00135F49" w:rsidRDefault="00135F49" w:rsidP="00135F49">
      <w:pPr>
        <w:pStyle w:val="FootnoteText"/>
      </w:pPr>
      <w:r>
        <w:rPr>
          <w:rStyle w:val="FootnoteReference"/>
        </w:rPr>
        <w:footnoteRef/>
      </w:r>
      <w:r>
        <w:t xml:space="preserve"> </w:t>
      </w:r>
      <w:r w:rsidRPr="007E4EA0">
        <w:rPr>
          <w:i/>
          <w:iCs/>
        </w:rPr>
        <w:t>PJM Interconnection, L.L.C.</w:t>
      </w:r>
      <w:r w:rsidRPr="007E4EA0">
        <w:t>, 177 FERC ¶ 61,209 (2021)</w:t>
      </w:r>
      <w:r>
        <w:t xml:space="preserve"> (Danly, Comm’r, </w:t>
      </w:r>
      <w:r w:rsidRPr="00BB1B5E">
        <w:t>dissenting</w:t>
      </w:r>
      <w:r>
        <w:t>).</w:t>
      </w:r>
    </w:p>
  </w:footnote>
  <w:footnote w:id="23">
    <w:p w14:paraId="356A6B5B" w14:textId="77777777" w:rsidR="00135F49" w:rsidRDefault="00135F49" w:rsidP="00135F49">
      <w:pPr>
        <w:pStyle w:val="FootnoteText"/>
      </w:pPr>
      <w:r>
        <w:rPr>
          <w:rStyle w:val="FootnoteReference"/>
        </w:rPr>
        <w:footnoteRef/>
      </w:r>
      <w:r>
        <w:t xml:space="preserve"> </w:t>
      </w:r>
      <w:r>
        <w:rPr>
          <w:i/>
          <w:iCs/>
        </w:rPr>
        <w:t>See Indep. Mkt. Monitor for PJM v. PJM Interconnection, L.L.C.</w:t>
      </w:r>
      <w:r>
        <w:t xml:space="preserve">, 176 FERC ¶ 61,137 (Danly, Comm’r, </w:t>
      </w:r>
      <w:r w:rsidRPr="00BB1B5E">
        <w:t>dissenting</w:t>
      </w:r>
      <w:r>
        <w:t>).</w:t>
      </w:r>
    </w:p>
  </w:footnote>
  <w:footnote w:id="24">
    <w:p w14:paraId="4EA5524E" w14:textId="77777777" w:rsidR="00135F49" w:rsidRDefault="00135F49" w:rsidP="00135F49">
      <w:pPr>
        <w:pStyle w:val="FootnoteText"/>
      </w:pPr>
      <w:r>
        <w:rPr>
          <w:rStyle w:val="FootnoteReference"/>
        </w:rPr>
        <w:footnoteRef/>
      </w:r>
      <w:r>
        <w:t xml:space="preserve"> </w:t>
      </w:r>
      <w:r w:rsidRPr="005D778E">
        <w:rPr>
          <w:i/>
          <w:iCs/>
        </w:rPr>
        <w:t>Nev</w:t>
      </w:r>
      <w:r>
        <w:rPr>
          <w:i/>
          <w:iCs/>
        </w:rPr>
        <w:t>.</w:t>
      </w:r>
      <w:r w:rsidRPr="005D778E">
        <w:rPr>
          <w:i/>
          <w:iCs/>
        </w:rPr>
        <w:t xml:space="preserve"> Power Co. v. Duke Energy Trading </w:t>
      </w:r>
      <w:r>
        <w:rPr>
          <w:i/>
          <w:iCs/>
        </w:rPr>
        <w:t>&amp;</w:t>
      </w:r>
      <w:r w:rsidRPr="005D778E">
        <w:rPr>
          <w:i/>
          <w:iCs/>
        </w:rPr>
        <w:t xml:space="preserve"> Mktg</w:t>
      </w:r>
      <w:r>
        <w:rPr>
          <w:i/>
          <w:iCs/>
        </w:rPr>
        <w:t>.</w:t>
      </w:r>
      <w:r w:rsidRPr="005D778E">
        <w:rPr>
          <w:i/>
          <w:iCs/>
        </w:rPr>
        <w:t>, L.L.C.</w:t>
      </w:r>
      <w:r w:rsidRPr="005D778E">
        <w:t xml:space="preserve">, 99 FERC </w:t>
      </w:r>
      <w:r>
        <w:t>¶ </w:t>
      </w:r>
      <w:r w:rsidRPr="005D778E">
        <w:t>61,047</w:t>
      </w:r>
      <w:r>
        <w:t>, at </w:t>
      </w:r>
      <w:r w:rsidRPr="005D778E">
        <w:t>61,190</w:t>
      </w:r>
      <w:r>
        <w:t xml:space="preserve">, </w:t>
      </w:r>
      <w:r>
        <w:rPr>
          <w:i/>
          <w:iCs/>
        </w:rPr>
        <w:t>order on reh’g</w:t>
      </w:r>
      <w:r w:rsidRPr="00146D42">
        <w:t>,</w:t>
      </w:r>
      <w:r>
        <w:t xml:space="preserve"> 100 FERC ¶ 61,273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AF75" w14:textId="77777777" w:rsidR="00820BC8" w:rsidRDefault="00820BC8"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7F0DE5FB" w14:textId="77777777" w:rsidR="00820BC8" w:rsidRDefault="00820BC8"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15B75" w14:textId="77777777" w:rsidR="00820BC8" w:rsidRDefault="00820BC8" w:rsidP="00FA727F">
    <w:pPr>
      <w:pStyle w:val="Header"/>
      <w:tabs>
        <w:tab w:val="clear" w:pos="4680"/>
      </w:tabs>
      <w:spacing w:after="240"/>
    </w:pPr>
    <w:r>
      <w:t xml:space="preserve">Docket No. ER22-474-000, </w:t>
    </w:r>
    <w:r w:rsidRPr="00DF673F">
      <w:t>et al</w:t>
    </w:r>
    <w:r>
      <w:rPr>
        <w:i/>
        <w:iCs/>
      </w:rPr>
      <w:t>.</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F6CA" w14:textId="77777777" w:rsidR="00820BC8" w:rsidRDefault="00820BC8" w:rsidP="00EC3F55">
    <w:pPr>
      <w:pStyle w:val="Header"/>
      <w:tabs>
        <w:tab w:val="clear" w:pos="46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368C8" w14:textId="77777777" w:rsidR="00A75458" w:rsidRDefault="00BC76E0" w:rsidP="008875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15E79075" w14:textId="77777777" w:rsidR="00A75458" w:rsidRDefault="00131F06" w:rsidP="00887570">
    <w:pPr>
      <w:pStyle w:val="Header"/>
      <w:ind w:right="360"/>
    </w:pPr>
  </w:p>
  <w:p w14:paraId="6F9D9D23" w14:textId="77777777" w:rsidR="005C5533" w:rsidRDefault="00131F06"/>
  <w:p w14:paraId="0CA2303E" w14:textId="77777777" w:rsidR="005C5533" w:rsidRDefault="00131F06"/>
  <w:p w14:paraId="45217CFC" w14:textId="77777777" w:rsidR="005C5533" w:rsidRDefault="00131F06"/>
  <w:p w14:paraId="30C4ADCF" w14:textId="77777777" w:rsidR="005C5533" w:rsidRDefault="00131F06"/>
  <w:p w14:paraId="044CA503" w14:textId="77777777" w:rsidR="005C5533" w:rsidRDefault="00131F06"/>
  <w:p w14:paraId="0B630A28" w14:textId="77777777" w:rsidR="005C5533" w:rsidRDefault="00131F06"/>
  <w:p w14:paraId="71895E7F" w14:textId="77777777" w:rsidR="005C5533" w:rsidRDefault="00131F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1581143"/>
      <w:docPartObj>
        <w:docPartGallery w:val="Page Numbers (Top of Page)"/>
        <w:docPartUnique/>
      </w:docPartObj>
    </w:sdtPr>
    <w:sdtEndPr>
      <w:rPr>
        <w:noProof/>
      </w:rPr>
    </w:sdtEndPr>
    <w:sdtContent>
      <w:p w14:paraId="51F36514" w14:textId="37F1B564" w:rsidR="00135F49" w:rsidRDefault="00135F49" w:rsidP="00135F49">
        <w:pPr>
          <w:pStyle w:val="Header"/>
        </w:pPr>
        <w:r>
          <w:t xml:space="preserve">Docket No. ER22-474-000, </w:t>
        </w:r>
        <w:r w:rsidRPr="00775411">
          <w:t>et al</w:t>
        </w:r>
        <w:r w:rsidRPr="005C5C84">
          <w:t>.</w:t>
        </w:r>
        <w:r>
          <w:tab/>
        </w:r>
        <w:r>
          <w:tab/>
        </w:r>
        <w:r>
          <w:fldChar w:fldCharType="begin"/>
        </w:r>
        <w:r>
          <w:instrText xml:space="preserve"> PAGE   \* MERGEFORMAT </w:instrText>
        </w:r>
        <w:r>
          <w:fldChar w:fldCharType="separate"/>
        </w:r>
        <w:r>
          <w:rPr>
            <w:noProof/>
          </w:rPr>
          <w:t>2</w:t>
        </w:r>
        <w:r>
          <w:rPr>
            <w:noProof/>
          </w:rPr>
          <w:fldChar w:fldCharType="end"/>
        </w:r>
      </w:p>
    </w:sdtContent>
  </w:sdt>
  <w:p w14:paraId="7AE50BC4" w14:textId="77777777" w:rsidR="005C5533" w:rsidRDefault="00131F0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C5F6" w14:textId="77777777" w:rsidR="00A75458" w:rsidRDefault="00131F06"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8B954DD"/>
    <w:multiLevelType w:val="hybridMultilevel"/>
    <w:tmpl w:val="8DB62714"/>
    <w:lvl w:ilvl="0" w:tplc="89249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3"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6" w15:restartNumberingAfterBreak="0">
    <w:nsid w:val="24E344AC"/>
    <w:multiLevelType w:val="hybridMultilevel"/>
    <w:tmpl w:val="8836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02FF"/>
    <w:multiLevelType w:val="multilevel"/>
    <w:tmpl w:val="3488AC98"/>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15:restartNumberingAfterBreak="0">
    <w:nsid w:val="646A15DE"/>
    <w:multiLevelType w:val="hybridMultilevel"/>
    <w:tmpl w:val="E9224320"/>
    <w:lvl w:ilvl="0" w:tplc="EE9433DE">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0"/>
  </w:num>
  <w:num w:numId="13">
    <w:abstractNumId w:val="14"/>
  </w:num>
  <w:num w:numId="14">
    <w:abstractNumId w:val="21"/>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3"/>
  </w:num>
  <w:num w:numId="21">
    <w:abstractNumId w:val="23"/>
  </w:num>
  <w:num w:numId="22">
    <w:abstractNumId w:val="17"/>
  </w:num>
  <w:num w:numId="23">
    <w:abstractNumId w:val="11"/>
  </w:num>
  <w:num w:numId="24">
    <w:abstractNumId w:val="19"/>
  </w:num>
  <w:num w:numId="25">
    <w:abstractNumId w:val="16"/>
  </w:num>
  <w:num w:numId="2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7F"/>
    <w:rsid w:val="00000E19"/>
    <w:rsid w:val="00003340"/>
    <w:rsid w:val="00004B9E"/>
    <w:rsid w:val="00004FD4"/>
    <w:rsid w:val="0000731D"/>
    <w:rsid w:val="00010FA6"/>
    <w:rsid w:val="000118C8"/>
    <w:rsid w:val="0001238C"/>
    <w:rsid w:val="000143AA"/>
    <w:rsid w:val="000145CB"/>
    <w:rsid w:val="00015CBB"/>
    <w:rsid w:val="0002042F"/>
    <w:rsid w:val="00022A33"/>
    <w:rsid w:val="0002355F"/>
    <w:rsid w:val="000251BC"/>
    <w:rsid w:val="00025594"/>
    <w:rsid w:val="000262E9"/>
    <w:rsid w:val="00026815"/>
    <w:rsid w:val="0003051B"/>
    <w:rsid w:val="0003382F"/>
    <w:rsid w:val="00033CCF"/>
    <w:rsid w:val="0003403D"/>
    <w:rsid w:val="0004239B"/>
    <w:rsid w:val="000428C4"/>
    <w:rsid w:val="0004624A"/>
    <w:rsid w:val="0005135D"/>
    <w:rsid w:val="000532FC"/>
    <w:rsid w:val="000550DC"/>
    <w:rsid w:val="00055F5F"/>
    <w:rsid w:val="00056F6A"/>
    <w:rsid w:val="0006117F"/>
    <w:rsid w:val="00062732"/>
    <w:rsid w:val="00065790"/>
    <w:rsid w:val="00070857"/>
    <w:rsid w:val="0007377C"/>
    <w:rsid w:val="000741E8"/>
    <w:rsid w:val="0007636C"/>
    <w:rsid w:val="00076BAF"/>
    <w:rsid w:val="000825AD"/>
    <w:rsid w:val="00083240"/>
    <w:rsid w:val="00084036"/>
    <w:rsid w:val="0008478C"/>
    <w:rsid w:val="00084A31"/>
    <w:rsid w:val="00085A44"/>
    <w:rsid w:val="00085D14"/>
    <w:rsid w:val="00086D98"/>
    <w:rsid w:val="0008778D"/>
    <w:rsid w:val="00092634"/>
    <w:rsid w:val="000939C0"/>
    <w:rsid w:val="00093E87"/>
    <w:rsid w:val="00095D81"/>
    <w:rsid w:val="0009682E"/>
    <w:rsid w:val="000972E4"/>
    <w:rsid w:val="00097C05"/>
    <w:rsid w:val="000A3D2F"/>
    <w:rsid w:val="000A5E0B"/>
    <w:rsid w:val="000A6835"/>
    <w:rsid w:val="000A687A"/>
    <w:rsid w:val="000A7ECD"/>
    <w:rsid w:val="000B1BF7"/>
    <w:rsid w:val="000B3BA7"/>
    <w:rsid w:val="000B4124"/>
    <w:rsid w:val="000B47E4"/>
    <w:rsid w:val="000B6DC7"/>
    <w:rsid w:val="000B7E62"/>
    <w:rsid w:val="000C0253"/>
    <w:rsid w:val="000C043F"/>
    <w:rsid w:val="000C07A8"/>
    <w:rsid w:val="000C1FCA"/>
    <w:rsid w:val="000C2688"/>
    <w:rsid w:val="000C4A0B"/>
    <w:rsid w:val="000C6869"/>
    <w:rsid w:val="000D0EE6"/>
    <w:rsid w:val="000D1AFA"/>
    <w:rsid w:val="000D1D4B"/>
    <w:rsid w:val="000D1FB6"/>
    <w:rsid w:val="000D3FC4"/>
    <w:rsid w:val="000D4780"/>
    <w:rsid w:val="000D739B"/>
    <w:rsid w:val="000D7DD4"/>
    <w:rsid w:val="000D7E96"/>
    <w:rsid w:val="000E065C"/>
    <w:rsid w:val="000E0857"/>
    <w:rsid w:val="000E0FB3"/>
    <w:rsid w:val="000E2BFA"/>
    <w:rsid w:val="000E4D60"/>
    <w:rsid w:val="000F18F7"/>
    <w:rsid w:val="000F2850"/>
    <w:rsid w:val="000F2DC1"/>
    <w:rsid w:val="000F3315"/>
    <w:rsid w:val="000F372C"/>
    <w:rsid w:val="000F5B28"/>
    <w:rsid w:val="000F603B"/>
    <w:rsid w:val="000F6403"/>
    <w:rsid w:val="000F6C7F"/>
    <w:rsid w:val="000F7559"/>
    <w:rsid w:val="00100E1B"/>
    <w:rsid w:val="00101107"/>
    <w:rsid w:val="00102736"/>
    <w:rsid w:val="0010290F"/>
    <w:rsid w:val="00103C08"/>
    <w:rsid w:val="00104F76"/>
    <w:rsid w:val="001066F6"/>
    <w:rsid w:val="00111BD4"/>
    <w:rsid w:val="00113C2B"/>
    <w:rsid w:val="001165B0"/>
    <w:rsid w:val="00120603"/>
    <w:rsid w:val="001209EF"/>
    <w:rsid w:val="00120CEE"/>
    <w:rsid w:val="00121A35"/>
    <w:rsid w:val="001236E4"/>
    <w:rsid w:val="00124C66"/>
    <w:rsid w:val="00125466"/>
    <w:rsid w:val="0012713F"/>
    <w:rsid w:val="00127478"/>
    <w:rsid w:val="001279B9"/>
    <w:rsid w:val="00130CCE"/>
    <w:rsid w:val="001312AD"/>
    <w:rsid w:val="00131F06"/>
    <w:rsid w:val="00132D57"/>
    <w:rsid w:val="00135F49"/>
    <w:rsid w:val="00137A19"/>
    <w:rsid w:val="001400EC"/>
    <w:rsid w:val="001421AA"/>
    <w:rsid w:val="00146074"/>
    <w:rsid w:val="00146A50"/>
    <w:rsid w:val="00150318"/>
    <w:rsid w:val="00150F77"/>
    <w:rsid w:val="00151A34"/>
    <w:rsid w:val="001520D4"/>
    <w:rsid w:val="00153BB1"/>
    <w:rsid w:val="001549DE"/>
    <w:rsid w:val="00154C7A"/>
    <w:rsid w:val="001558B3"/>
    <w:rsid w:val="00155DB5"/>
    <w:rsid w:val="00156FBB"/>
    <w:rsid w:val="0016248B"/>
    <w:rsid w:val="001631BE"/>
    <w:rsid w:val="0016374F"/>
    <w:rsid w:val="0016531B"/>
    <w:rsid w:val="00165DD5"/>
    <w:rsid w:val="00167AB1"/>
    <w:rsid w:val="00167BAD"/>
    <w:rsid w:val="00170438"/>
    <w:rsid w:val="001706F8"/>
    <w:rsid w:val="00171891"/>
    <w:rsid w:val="001755D3"/>
    <w:rsid w:val="00176021"/>
    <w:rsid w:val="0017696A"/>
    <w:rsid w:val="0017701D"/>
    <w:rsid w:val="00180BF3"/>
    <w:rsid w:val="00181F1C"/>
    <w:rsid w:val="00185776"/>
    <w:rsid w:val="0018758C"/>
    <w:rsid w:val="00191617"/>
    <w:rsid w:val="0019292E"/>
    <w:rsid w:val="001949D0"/>
    <w:rsid w:val="001960DD"/>
    <w:rsid w:val="00196A00"/>
    <w:rsid w:val="001A1618"/>
    <w:rsid w:val="001A2AF1"/>
    <w:rsid w:val="001A33D6"/>
    <w:rsid w:val="001A563A"/>
    <w:rsid w:val="001A6113"/>
    <w:rsid w:val="001B042B"/>
    <w:rsid w:val="001B08E3"/>
    <w:rsid w:val="001B1134"/>
    <w:rsid w:val="001B1E1B"/>
    <w:rsid w:val="001B1FE9"/>
    <w:rsid w:val="001B2C6D"/>
    <w:rsid w:val="001B2DF9"/>
    <w:rsid w:val="001B362D"/>
    <w:rsid w:val="001B4FB2"/>
    <w:rsid w:val="001B59D7"/>
    <w:rsid w:val="001B795F"/>
    <w:rsid w:val="001C2FBB"/>
    <w:rsid w:val="001C4A42"/>
    <w:rsid w:val="001C6BAF"/>
    <w:rsid w:val="001D0E24"/>
    <w:rsid w:val="001D264B"/>
    <w:rsid w:val="001D3B0D"/>
    <w:rsid w:val="001D7927"/>
    <w:rsid w:val="001E3652"/>
    <w:rsid w:val="001E59F9"/>
    <w:rsid w:val="001E7A18"/>
    <w:rsid w:val="001E7A8F"/>
    <w:rsid w:val="001E7ABB"/>
    <w:rsid w:val="001F183A"/>
    <w:rsid w:val="001F1950"/>
    <w:rsid w:val="001F3C4F"/>
    <w:rsid w:val="001F51A0"/>
    <w:rsid w:val="001F5CC6"/>
    <w:rsid w:val="001F726B"/>
    <w:rsid w:val="00200EF9"/>
    <w:rsid w:val="00202BC3"/>
    <w:rsid w:val="00203911"/>
    <w:rsid w:val="00206168"/>
    <w:rsid w:val="002072CF"/>
    <w:rsid w:val="00210A32"/>
    <w:rsid w:val="00211765"/>
    <w:rsid w:val="00212E1A"/>
    <w:rsid w:val="002136E7"/>
    <w:rsid w:val="00215CB2"/>
    <w:rsid w:val="0022009E"/>
    <w:rsid w:val="002206DB"/>
    <w:rsid w:val="0022182D"/>
    <w:rsid w:val="00224679"/>
    <w:rsid w:val="00224859"/>
    <w:rsid w:val="00225A12"/>
    <w:rsid w:val="002261B3"/>
    <w:rsid w:val="00230F0C"/>
    <w:rsid w:val="002318B6"/>
    <w:rsid w:val="00231E18"/>
    <w:rsid w:val="00233CEF"/>
    <w:rsid w:val="00233FD0"/>
    <w:rsid w:val="002352B0"/>
    <w:rsid w:val="002354E4"/>
    <w:rsid w:val="00240493"/>
    <w:rsid w:val="00241B3E"/>
    <w:rsid w:val="002464E8"/>
    <w:rsid w:val="0024710C"/>
    <w:rsid w:val="00247128"/>
    <w:rsid w:val="00253776"/>
    <w:rsid w:val="00255417"/>
    <w:rsid w:val="002565BC"/>
    <w:rsid w:val="00257989"/>
    <w:rsid w:val="00260517"/>
    <w:rsid w:val="00261C2F"/>
    <w:rsid w:val="00262FED"/>
    <w:rsid w:val="00264AD1"/>
    <w:rsid w:val="00266C7F"/>
    <w:rsid w:val="002671DB"/>
    <w:rsid w:val="00267328"/>
    <w:rsid w:val="00270FD4"/>
    <w:rsid w:val="00271D20"/>
    <w:rsid w:val="00273BE8"/>
    <w:rsid w:val="00274963"/>
    <w:rsid w:val="00274C4C"/>
    <w:rsid w:val="002753EF"/>
    <w:rsid w:val="002817CE"/>
    <w:rsid w:val="00281905"/>
    <w:rsid w:val="00283AA6"/>
    <w:rsid w:val="00283B93"/>
    <w:rsid w:val="0028432C"/>
    <w:rsid w:val="00284E46"/>
    <w:rsid w:val="002857E2"/>
    <w:rsid w:val="002870A9"/>
    <w:rsid w:val="00287BF6"/>
    <w:rsid w:val="00290912"/>
    <w:rsid w:val="00290ABD"/>
    <w:rsid w:val="00291D77"/>
    <w:rsid w:val="00294575"/>
    <w:rsid w:val="00295918"/>
    <w:rsid w:val="00296C8D"/>
    <w:rsid w:val="002A0B4A"/>
    <w:rsid w:val="002A1993"/>
    <w:rsid w:val="002A311D"/>
    <w:rsid w:val="002A34C1"/>
    <w:rsid w:val="002A5C43"/>
    <w:rsid w:val="002A729E"/>
    <w:rsid w:val="002A7FB5"/>
    <w:rsid w:val="002B182F"/>
    <w:rsid w:val="002B262D"/>
    <w:rsid w:val="002B35F2"/>
    <w:rsid w:val="002B577C"/>
    <w:rsid w:val="002B6125"/>
    <w:rsid w:val="002C0FB1"/>
    <w:rsid w:val="002C57E5"/>
    <w:rsid w:val="002C7704"/>
    <w:rsid w:val="002D127A"/>
    <w:rsid w:val="002D1528"/>
    <w:rsid w:val="002D206A"/>
    <w:rsid w:val="002D358E"/>
    <w:rsid w:val="002D65B3"/>
    <w:rsid w:val="002D7D6B"/>
    <w:rsid w:val="002E4E8A"/>
    <w:rsid w:val="002E5DA3"/>
    <w:rsid w:val="002F0112"/>
    <w:rsid w:val="002F33F9"/>
    <w:rsid w:val="002F4482"/>
    <w:rsid w:val="002F4EC4"/>
    <w:rsid w:val="002F52A9"/>
    <w:rsid w:val="002F57D0"/>
    <w:rsid w:val="00301D68"/>
    <w:rsid w:val="003027FF"/>
    <w:rsid w:val="003031DA"/>
    <w:rsid w:val="00305A70"/>
    <w:rsid w:val="00310CB5"/>
    <w:rsid w:val="00312651"/>
    <w:rsid w:val="00313634"/>
    <w:rsid w:val="00314889"/>
    <w:rsid w:val="0031710F"/>
    <w:rsid w:val="003223D3"/>
    <w:rsid w:val="00322F05"/>
    <w:rsid w:val="00324848"/>
    <w:rsid w:val="00324F79"/>
    <w:rsid w:val="0032517B"/>
    <w:rsid w:val="0032528F"/>
    <w:rsid w:val="00327401"/>
    <w:rsid w:val="00330D17"/>
    <w:rsid w:val="00332D74"/>
    <w:rsid w:val="003346EB"/>
    <w:rsid w:val="00334DF0"/>
    <w:rsid w:val="00334FE6"/>
    <w:rsid w:val="00335933"/>
    <w:rsid w:val="00335A13"/>
    <w:rsid w:val="003370E4"/>
    <w:rsid w:val="003437BD"/>
    <w:rsid w:val="00343B96"/>
    <w:rsid w:val="00343D67"/>
    <w:rsid w:val="003478CF"/>
    <w:rsid w:val="00350E98"/>
    <w:rsid w:val="00350FC8"/>
    <w:rsid w:val="003520AD"/>
    <w:rsid w:val="00352814"/>
    <w:rsid w:val="00356733"/>
    <w:rsid w:val="0035796E"/>
    <w:rsid w:val="003608E7"/>
    <w:rsid w:val="00360AA1"/>
    <w:rsid w:val="00360CE4"/>
    <w:rsid w:val="00361333"/>
    <w:rsid w:val="00361D3C"/>
    <w:rsid w:val="00363629"/>
    <w:rsid w:val="00364E6F"/>
    <w:rsid w:val="0036500A"/>
    <w:rsid w:val="00366A32"/>
    <w:rsid w:val="003677E3"/>
    <w:rsid w:val="003700D1"/>
    <w:rsid w:val="003702B6"/>
    <w:rsid w:val="003713FE"/>
    <w:rsid w:val="00371E5B"/>
    <w:rsid w:val="00373590"/>
    <w:rsid w:val="00374532"/>
    <w:rsid w:val="00374868"/>
    <w:rsid w:val="003752EA"/>
    <w:rsid w:val="00375DF4"/>
    <w:rsid w:val="00376313"/>
    <w:rsid w:val="00381B3D"/>
    <w:rsid w:val="00383004"/>
    <w:rsid w:val="003830CE"/>
    <w:rsid w:val="003855AC"/>
    <w:rsid w:val="00385E2D"/>
    <w:rsid w:val="003860BF"/>
    <w:rsid w:val="00390ABA"/>
    <w:rsid w:val="0039262E"/>
    <w:rsid w:val="003937F3"/>
    <w:rsid w:val="00397580"/>
    <w:rsid w:val="00397AC0"/>
    <w:rsid w:val="003A15D6"/>
    <w:rsid w:val="003A3355"/>
    <w:rsid w:val="003A5145"/>
    <w:rsid w:val="003B0947"/>
    <w:rsid w:val="003B1C99"/>
    <w:rsid w:val="003B2445"/>
    <w:rsid w:val="003B3441"/>
    <w:rsid w:val="003B61F2"/>
    <w:rsid w:val="003B6A5F"/>
    <w:rsid w:val="003B7443"/>
    <w:rsid w:val="003B7E9A"/>
    <w:rsid w:val="003B7F05"/>
    <w:rsid w:val="003C0F10"/>
    <w:rsid w:val="003C3A1E"/>
    <w:rsid w:val="003C505B"/>
    <w:rsid w:val="003C6112"/>
    <w:rsid w:val="003C6F0F"/>
    <w:rsid w:val="003C71CF"/>
    <w:rsid w:val="003C789D"/>
    <w:rsid w:val="003D0112"/>
    <w:rsid w:val="003D0120"/>
    <w:rsid w:val="003D4A56"/>
    <w:rsid w:val="003D5827"/>
    <w:rsid w:val="003D6552"/>
    <w:rsid w:val="003D7B2C"/>
    <w:rsid w:val="003E1917"/>
    <w:rsid w:val="003E259A"/>
    <w:rsid w:val="003E4F63"/>
    <w:rsid w:val="003E5211"/>
    <w:rsid w:val="003F31D2"/>
    <w:rsid w:val="003F3649"/>
    <w:rsid w:val="003F3716"/>
    <w:rsid w:val="003F3DC0"/>
    <w:rsid w:val="003F47E2"/>
    <w:rsid w:val="003F4845"/>
    <w:rsid w:val="003F4DBE"/>
    <w:rsid w:val="003F557E"/>
    <w:rsid w:val="003F5A29"/>
    <w:rsid w:val="003F7483"/>
    <w:rsid w:val="003F7CC5"/>
    <w:rsid w:val="00400D68"/>
    <w:rsid w:val="00401A63"/>
    <w:rsid w:val="004067AD"/>
    <w:rsid w:val="0040729A"/>
    <w:rsid w:val="00407EE0"/>
    <w:rsid w:val="00410851"/>
    <w:rsid w:val="0041226B"/>
    <w:rsid w:val="00414806"/>
    <w:rsid w:val="004209B2"/>
    <w:rsid w:val="00420D27"/>
    <w:rsid w:val="0042485F"/>
    <w:rsid w:val="00424B78"/>
    <w:rsid w:val="00425D52"/>
    <w:rsid w:val="004268FA"/>
    <w:rsid w:val="004335E8"/>
    <w:rsid w:val="00436A3E"/>
    <w:rsid w:val="00440D78"/>
    <w:rsid w:val="004411EA"/>
    <w:rsid w:val="0044190A"/>
    <w:rsid w:val="00441A2A"/>
    <w:rsid w:val="004420F6"/>
    <w:rsid w:val="004431F3"/>
    <w:rsid w:val="0044359A"/>
    <w:rsid w:val="00444F65"/>
    <w:rsid w:val="0044504A"/>
    <w:rsid w:val="004476C6"/>
    <w:rsid w:val="0045130C"/>
    <w:rsid w:val="00451985"/>
    <w:rsid w:val="00453578"/>
    <w:rsid w:val="00454328"/>
    <w:rsid w:val="00454A58"/>
    <w:rsid w:val="00455214"/>
    <w:rsid w:val="004557C1"/>
    <w:rsid w:val="00456136"/>
    <w:rsid w:val="004564E3"/>
    <w:rsid w:val="00456D5A"/>
    <w:rsid w:val="0046009A"/>
    <w:rsid w:val="0046133D"/>
    <w:rsid w:val="00464D48"/>
    <w:rsid w:val="00466598"/>
    <w:rsid w:val="00467B5D"/>
    <w:rsid w:val="00472C9B"/>
    <w:rsid w:val="00473A5E"/>
    <w:rsid w:val="004758A9"/>
    <w:rsid w:val="00476273"/>
    <w:rsid w:val="00477399"/>
    <w:rsid w:val="0048020B"/>
    <w:rsid w:val="00480C5E"/>
    <w:rsid w:val="00485231"/>
    <w:rsid w:val="004861A9"/>
    <w:rsid w:val="004864DA"/>
    <w:rsid w:val="004872BC"/>
    <w:rsid w:val="004874A4"/>
    <w:rsid w:val="00487DD9"/>
    <w:rsid w:val="00492437"/>
    <w:rsid w:val="00494355"/>
    <w:rsid w:val="00494945"/>
    <w:rsid w:val="00495752"/>
    <w:rsid w:val="00495E07"/>
    <w:rsid w:val="0049669A"/>
    <w:rsid w:val="00496B85"/>
    <w:rsid w:val="00497F70"/>
    <w:rsid w:val="004A03E5"/>
    <w:rsid w:val="004A3BDE"/>
    <w:rsid w:val="004A503D"/>
    <w:rsid w:val="004B141F"/>
    <w:rsid w:val="004B4A8D"/>
    <w:rsid w:val="004C0E28"/>
    <w:rsid w:val="004C190E"/>
    <w:rsid w:val="004C1DE8"/>
    <w:rsid w:val="004C43E4"/>
    <w:rsid w:val="004C456B"/>
    <w:rsid w:val="004C4999"/>
    <w:rsid w:val="004C4D5F"/>
    <w:rsid w:val="004C5C1D"/>
    <w:rsid w:val="004D0ACC"/>
    <w:rsid w:val="004D10B0"/>
    <w:rsid w:val="004D35E8"/>
    <w:rsid w:val="004D5ACF"/>
    <w:rsid w:val="004D614C"/>
    <w:rsid w:val="004E1DAE"/>
    <w:rsid w:val="004E2268"/>
    <w:rsid w:val="004E25A6"/>
    <w:rsid w:val="004E674F"/>
    <w:rsid w:val="004E6AA6"/>
    <w:rsid w:val="004F2507"/>
    <w:rsid w:val="004F3339"/>
    <w:rsid w:val="004F5759"/>
    <w:rsid w:val="004F6475"/>
    <w:rsid w:val="004F79F3"/>
    <w:rsid w:val="0050001C"/>
    <w:rsid w:val="00500E9C"/>
    <w:rsid w:val="00502251"/>
    <w:rsid w:val="005047DF"/>
    <w:rsid w:val="00505E9F"/>
    <w:rsid w:val="005100A2"/>
    <w:rsid w:val="00513D01"/>
    <w:rsid w:val="00513E14"/>
    <w:rsid w:val="005154C1"/>
    <w:rsid w:val="005162AB"/>
    <w:rsid w:val="00517FD7"/>
    <w:rsid w:val="0052000A"/>
    <w:rsid w:val="00520B3A"/>
    <w:rsid w:val="00521122"/>
    <w:rsid w:val="00522D1E"/>
    <w:rsid w:val="0052351B"/>
    <w:rsid w:val="00524EDF"/>
    <w:rsid w:val="00527809"/>
    <w:rsid w:val="00530F4F"/>
    <w:rsid w:val="00531ED8"/>
    <w:rsid w:val="0053233D"/>
    <w:rsid w:val="00535AEF"/>
    <w:rsid w:val="00536702"/>
    <w:rsid w:val="00541146"/>
    <w:rsid w:val="00542392"/>
    <w:rsid w:val="00542814"/>
    <w:rsid w:val="00545CC2"/>
    <w:rsid w:val="00546238"/>
    <w:rsid w:val="00547D3F"/>
    <w:rsid w:val="00552271"/>
    <w:rsid w:val="00552A11"/>
    <w:rsid w:val="00553DDC"/>
    <w:rsid w:val="00557589"/>
    <w:rsid w:val="005577D9"/>
    <w:rsid w:val="00560824"/>
    <w:rsid w:val="00561DA8"/>
    <w:rsid w:val="00562868"/>
    <w:rsid w:val="00562CB2"/>
    <w:rsid w:val="0056642D"/>
    <w:rsid w:val="0056752D"/>
    <w:rsid w:val="00571460"/>
    <w:rsid w:val="00571D6D"/>
    <w:rsid w:val="0057220B"/>
    <w:rsid w:val="00572F46"/>
    <w:rsid w:val="00574A02"/>
    <w:rsid w:val="00575659"/>
    <w:rsid w:val="00575DAC"/>
    <w:rsid w:val="00576A54"/>
    <w:rsid w:val="00577DC6"/>
    <w:rsid w:val="005816F4"/>
    <w:rsid w:val="00581BDF"/>
    <w:rsid w:val="00583257"/>
    <w:rsid w:val="00585174"/>
    <w:rsid w:val="005869D9"/>
    <w:rsid w:val="0059038C"/>
    <w:rsid w:val="00590CD1"/>
    <w:rsid w:val="005921E2"/>
    <w:rsid w:val="00594E87"/>
    <w:rsid w:val="005950E5"/>
    <w:rsid w:val="00597309"/>
    <w:rsid w:val="00597C7E"/>
    <w:rsid w:val="005A1772"/>
    <w:rsid w:val="005A1922"/>
    <w:rsid w:val="005A3170"/>
    <w:rsid w:val="005A4CD3"/>
    <w:rsid w:val="005A5866"/>
    <w:rsid w:val="005A6B94"/>
    <w:rsid w:val="005A6CE8"/>
    <w:rsid w:val="005A6F7C"/>
    <w:rsid w:val="005A7B0A"/>
    <w:rsid w:val="005B132F"/>
    <w:rsid w:val="005B15EB"/>
    <w:rsid w:val="005B18B2"/>
    <w:rsid w:val="005B40A6"/>
    <w:rsid w:val="005B6856"/>
    <w:rsid w:val="005C0180"/>
    <w:rsid w:val="005C01B7"/>
    <w:rsid w:val="005C0C58"/>
    <w:rsid w:val="005C3755"/>
    <w:rsid w:val="005C6984"/>
    <w:rsid w:val="005C70B2"/>
    <w:rsid w:val="005C7A16"/>
    <w:rsid w:val="005C7BA7"/>
    <w:rsid w:val="005D0E31"/>
    <w:rsid w:val="005D1BA9"/>
    <w:rsid w:val="005D2A50"/>
    <w:rsid w:val="005D2A79"/>
    <w:rsid w:val="005D3004"/>
    <w:rsid w:val="005D3D39"/>
    <w:rsid w:val="005D4E6F"/>
    <w:rsid w:val="005D5C2D"/>
    <w:rsid w:val="005D784E"/>
    <w:rsid w:val="005D787E"/>
    <w:rsid w:val="005D7C39"/>
    <w:rsid w:val="005E13DF"/>
    <w:rsid w:val="005E2DAD"/>
    <w:rsid w:val="005E3078"/>
    <w:rsid w:val="005E387D"/>
    <w:rsid w:val="005E3B75"/>
    <w:rsid w:val="005E3D15"/>
    <w:rsid w:val="005E3F57"/>
    <w:rsid w:val="005E4C65"/>
    <w:rsid w:val="005F2946"/>
    <w:rsid w:val="005F2CCD"/>
    <w:rsid w:val="005F34C6"/>
    <w:rsid w:val="005F4318"/>
    <w:rsid w:val="005F4F8E"/>
    <w:rsid w:val="005F54A4"/>
    <w:rsid w:val="005F643E"/>
    <w:rsid w:val="005F71D1"/>
    <w:rsid w:val="00600322"/>
    <w:rsid w:val="0060035F"/>
    <w:rsid w:val="00600C37"/>
    <w:rsid w:val="00607205"/>
    <w:rsid w:val="006074E4"/>
    <w:rsid w:val="00607E09"/>
    <w:rsid w:val="00607FBF"/>
    <w:rsid w:val="006112D1"/>
    <w:rsid w:val="006112FA"/>
    <w:rsid w:val="00611E9D"/>
    <w:rsid w:val="006177F8"/>
    <w:rsid w:val="00617904"/>
    <w:rsid w:val="00620205"/>
    <w:rsid w:val="00620A7D"/>
    <w:rsid w:val="00620E8B"/>
    <w:rsid w:val="00621CC4"/>
    <w:rsid w:val="00622B41"/>
    <w:rsid w:val="00622D42"/>
    <w:rsid w:val="00622F63"/>
    <w:rsid w:val="00623402"/>
    <w:rsid w:val="00623986"/>
    <w:rsid w:val="00624B34"/>
    <w:rsid w:val="00625B93"/>
    <w:rsid w:val="006269BD"/>
    <w:rsid w:val="00626AD6"/>
    <w:rsid w:val="00627E2B"/>
    <w:rsid w:val="006308E9"/>
    <w:rsid w:val="0063330B"/>
    <w:rsid w:val="00633563"/>
    <w:rsid w:val="00635157"/>
    <w:rsid w:val="00636271"/>
    <w:rsid w:val="00640355"/>
    <w:rsid w:val="00641117"/>
    <w:rsid w:val="00641DBE"/>
    <w:rsid w:val="00642DFB"/>
    <w:rsid w:val="00643C5A"/>
    <w:rsid w:val="006502FA"/>
    <w:rsid w:val="00653512"/>
    <w:rsid w:val="00653D8D"/>
    <w:rsid w:val="00653F3C"/>
    <w:rsid w:val="00654E98"/>
    <w:rsid w:val="006558A9"/>
    <w:rsid w:val="00655A79"/>
    <w:rsid w:val="00657DFB"/>
    <w:rsid w:val="00660136"/>
    <w:rsid w:val="00662BC9"/>
    <w:rsid w:val="00664401"/>
    <w:rsid w:val="00664B61"/>
    <w:rsid w:val="00665771"/>
    <w:rsid w:val="0066728A"/>
    <w:rsid w:val="00667B22"/>
    <w:rsid w:val="006710C1"/>
    <w:rsid w:val="0067304E"/>
    <w:rsid w:val="006733BD"/>
    <w:rsid w:val="00673C3C"/>
    <w:rsid w:val="006745E5"/>
    <w:rsid w:val="00677426"/>
    <w:rsid w:val="00677A0E"/>
    <w:rsid w:val="00680BE8"/>
    <w:rsid w:val="00681181"/>
    <w:rsid w:val="00681979"/>
    <w:rsid w:val="00682099"/>
    <w:rsid w:val="00685919"/>
    <w:rsid w:val="00685A22"/>
    <w:rsid w:val="006865E3"/>
    <w:rsid w:val="0068689C"/>
    <w:rsid w:val="00690FEE"/>
    <w:rsid w:val="00692492"/>
    <w:rsid w:val="006928F3"/>
    <w:rsid w:val="00692CAF"/>
    <w:rsid w:val="006946BC"/>
    <w:rsid w:val="00694F3D"/>
    <w:rsid w:val="006A18B6"/>
    <w:rsid w:val="006A1EDC"/>
    <w:rsid w:val="006A218C"/>
    <w:rsid w:val="006A22FA"/>
    <w:rsid w:val="006A2B9D"/>
    <w:rsid w:val="006A3714"/>
    <w:rsid w:val="006A4342"/>
    <w:rsid w:val="006A4EB8"/>
    <w:rsid w:val="006A5B0F"/>
    <w:rsid w:val="006A5ED6"/>
    <w:rsid w:val="006A5FF3"/>
    <w:rsid w:val="006B1950"/>
    <w:rsid w:val="006B20EE"/>
    <w:rsid w:val="006B4826"/>
    <w:rsid w:val="006B5B8D"/>
    <w:rsid w:val="006B7C53"/>
    <w:rsid w:val="006C106D"/>
    <w:rsid w:val="006C1614"/>
    <w:rsid w:val="006C1D8C"/>
    <w:rsid w:val="006C51D5"/>
    <w:rsid w:val="006C54B1"/>
    <w:rsid w:val="006C7292"/>
    <w:rsid w:val="006C7732"/>
    <w:rsid w:val="006D01C9"/>
    <w:rsid w:val="006D1CC1"/>
    <w:rsid w:val="006D1E49"/>
    <w:rsid w:val="006D2A31"/>
    <w:rsid w:val="006D432E"/>
    <w:rsid w:val="006D5B0E"/>
    <w:rsid w:val="006E1CF4"/>
    <w:rsid w:val="006E28AD"/>
    <w:rsid w:val="006E4098"/>
    <w:rsid w:val="006E4894"/>
    <w:rsid w:val="006E6044"/>
    <w:rsid w:val="006F07D0"/>
    <w:rsid w:val="006F0AFA"/>
    <w:rsid w:val="006F1B52"/>
    <w:rsid w:val="006F27A6"/>
    <w:rsid w:val="006F3303"/>
    <w:rsid w:val="006F39A4"/>
    <w:rsid w:val="006F42DE"/>
    <w:rsid w:val="006F602D"/>
    <w:rsid w:val="006F6B5C"/>
    <w:rsid w:val="007043AB"/>
    <w:rsid w:val="00705B33"/>
    <w:rsid w:val="0070615E"/>
    <w:rsid w:val="00706C4B"/>
    <w:rsid w:val="00707DF9"/>
    <w:rsid w:val="00710A58"/>
    <w:rsid w:val="007116AC"/>
    <w:rsid w:val="007124A2"/>
    <w:rsid w:val="00712BD6"/>
    <w:rsid w:val="007133ED"/>
    <w:rsid w:val="00714183"/>
    <w:rsid w:val="00715479"/>
    <w:rsid w:val="007230D6"/>
    <w:rsid w:val="00723E4B"/>
    <w:rsid w:val="00724553"/>
    <w:rsid w:val="007245EA"/>
    <w:rsid w:val="0072563F"/>
    <w:rsid w:val="00727322"/>
    <w:rsid w:val="00727C81"/>
    <w:rsid w:val="00730176"/>
    <w:rsid w:val="00730CED"/>
    <w:rsid w:val="00732CFA"/>
    <w:rsid w:val="00732E2C"/>
    <w:rsid w:val="00733398"/>
    <w:rsid w:val="0073356B"/>
    <w:rsid w:val="0073414D"/>
    <w:rsid w:val="00734468"/>
    <w:rsid w:val="007344A6"/>
    <w:rsid w:val="00735ECF"/>
    <w:rsid w:val="007368A2"/>
    <w:rsid w:val="00736DE9"/>
    <w:rsid w:val="00737DB5"/>
    <w:rsid w:val="00742439"/>
    <w:rsid w:val="00743A10"/>
    <w:rsid w:val="00743AF9"/>
    <w:rsid w:val="0074534A"/>
    <w:rsid w:val="007465A9"/>
    <w:rsid w:val="00747002"/>
    <w:rsid w:val="00747A59"/>
    <w:rsid w:val="0075023C"/>
    <w:rsid w:val="00750E30"/>
    <w:rsid w:val="00751567"/>
    <w:rsid w:val="007540D2"/>
    <w:rsid w:val="00754A0D"/>
    <w:rsid w:val="007552C1"/>
    <w:rsid w:val="007562E2"/>
    <w:rsid w:val="0075742E"/>
    <w:rsid w:val="007577C2"/>
    <w:rsid w:val="00762F2B"/>
    <w:rsid w:val="0076328E"/>
    <w:rsid w:val="00764A63"/>
    <w:rsid w:val="00764FBC"/>
    <w:rsid w:val="0076561E"/>
    <w:rsid w:val="007661B0"/>
    <w:rsid w:val="007721D2"/>
    <w:rsid w:val="00773113"/>
    <w:rsid w:val="00773353"/>
    <w:rsid w:val="00776B6C"/>
    <w:rsid w:val="007801BF"/>
    <w:rsid w:val="00780A45"/>
    <w:rsid w:val="00782D2C"/>
    <w:rsid w:val="00783842"/>
    <w:rsid w:val="0078548A"/>
    <w:rsid w:val="007876E3"/>
    <w:rsid w:val="007928AD"/>
    <w:rsid w:val="007935D5"/>
    <w:rsid w:val="00794724"/>
    <w:rsid w:val="007A0174"/>
    <w:rsid w:val="007A0BB2"/>
    <w:rsid w:val="007A15D5"/>
    <w:rsid w:val="007A5131"/>
    <w:rsid w:val="007A6BAD"/>
    <w:rsid w:val="007B1C51"/>
    <w:rsid w:val="007B4019"/>
    <w:rsid w:val="007B48FD"/>
    <w:rsid w:val="007B5013"/>
    <w:rsid w:val="007B66A0"/>
    <w:rsid w:val="007B6E4E"/>
    <w:rsid w:val="007B71E9"/>
    <w:rsid w:val="007C1702"/>
    <w:rsid w:val="007C36CE"/>
    <w:rsid w:val="007C3A68"/>
    <w:rsid w:val="007C3D60"/>
    <w:rsid w:val="007C41D1"/>
    <w:rsid w:val="007C48C7"/>
    <w:rsid w:val="007C5408"/>
    <w:rsid w:val="007C69D6"/>
    <w:rsid w:val="007D1B4F"/>
    <w:rsid w:val="007D2970"/>
    <w:rsid w:val="007D2CEB"/>
    <w:rsid w:val="007D3591"/>
    <w:rsid w:val="007D5F0B"/>
    <w:rsid w:val="007D6683"/>
    <w:rsid w:val="007E068C"/>
    <w:rsid w:val="007E0FF6"/>
    <w:rsid w:val="007E3545"/>
    <w:rsid w:val="007E6167"/>
    <w:rsid w:val="007E74C5"/>
    <w:rsid w:val="007F0E34"/>
    <w:rsid w:val="007F27C9"/>
    <w:rsid w:val="007F32C6"/>
    <w:rsid w:val="007F5F13"/>
    <w:rsid w:val="007F6368"/>
    <w:rsid w:val="007F7B7F"/>
    <w:rsid w:val="008017FD"/>
    <w:rsid w:val="00803F9F"/>
    <w:rsid w:val="00804225"/>
    <w:rsid w:val="008043AE"/>
    <w:rsid w:val="008043DE"/>
    <w:rsid w:val="0080498D"/>
    <w:rsid w:val="0080606A"/>
    <w:rsid w:val="008065F0"/>
    <w:rsid w:val="00807C2F"/>
    <w:rsid w:val="008103D8"/>
    <w:rsid w:val="00810B67"/>
    <w:rsid w:val="008129C6"/>
    <w:rsid w:val="00812E0A"/>
    <w:rsid w:val="0081352B"/>
    <w:rsid w:val="008140C1"/>
    <w:rsid w:val="00814514"/>
    <w:rsid w:val="008145D1"/>
    <w:rsid w:val="008154CD"/>
    <w:rsid w:val="0081730B"/>
    <w:rsid w:val="00817B71"/>
    <w:rsid w:val="00820BC8"/>
    <w:rsid w:val="008218F1"/>
    <w:rsid w:val="00822020"/>
    <w:rsid w:val="008237E2"/>
    <w:rsid w:val="008255E4"/>
    <w:rsid w:val="00825833"/>
    <w:rsid w:val="00825900"/>
    <w:rsid w:val="00827BAD"/>
    <w:rsid w:val="00830639"/>
    <w:rsid w:val="008309C9"/>
    <w:rsid w:val="00830BC7"/>
    <w:rsid w:val="008335E3"/>
    <w:rsid w:val="00834DCB"/>
    <w:rsid w:val="00835470"/>
    <w:rsid w:val="008355B8"/>
    <w:rsid w:val="00836673"/>
    <w:rsid w:val="008368E3"/>
    <w:rsid w:val="00836F03"/>
    <w:rsid w:val="008376D8"/>
    <w:rsid w:val="00837BA4"/>
    <w:rsid w:val="00840C01"/>
    <w:rsid w:val="00840C42"/>
    <w:rsid w:val="0084167C"/>
    <w:rsid w:val="00842E11"/>
    <w:rsid w:val="00844F10"/>
    <w:rsid w:val="00845186"/>
    <w:rsid w:val="008452C0"/>
    <w:rsid w:val="00845BBC"/>
    <w:rsid w:val="008469FA"/>
    <w:rsid w:val="00847F2B"/>
    <w:rsid w:val="00850048"/>
    <w:rsid w:val="0085097C"/>
    <w:rsid w:val="008512CC"/>
    <w:rsid w:val="008513D8"/>
    <w:rsid w:val="00852C25"/>
    <w:rsid w:val="00852E9E"/>
    <w:rsid w:val="00855D43"/>
    <w:rsid w:val="008561D7"/>
    <w:rsid w:val="008607B4"/>
    <w:rsid w:val="00860B22"/>
    <w:rsid w:val="00861074"/>
    <w:rsid w:val="0086226F"/>
    <w:rsid w:val="008636FC"/>
    <w:rsid w:val="00863B55"/>
    <w:rsid w:val="00863DB6"/>
    <w:rsid w:val="00865B86"/>
    <w:rsid w:val="00870368"/>
    <w:rsid w:val="00871164"/>
    <w:rsid w:val="00872540"/>
    <w:rsid w:val="008729AB"/>
    <w:rsid w:val="00873BC6"/>
    <w:rsid w:val="00874FB1"/>
    <w:rsid w:val="00874FBB"/>
    <w:rsid w:val="00875980"/>
    <w:rsid w:val="0087685C"/>
    <w:rsid w:val="00876D16"/>
    <w:rsid w:val="008771F4"/>
    <w:rsid w:val="00880902"/>
    <w:rsid w:val="00881E3C"/>
    <w:rsid w:val="00882636"/>
    <w:rsid w:val="00885130"/>
    <w:rsid w:val="0088740E"/>
    <w:rsid w:val="00892A4E"/>
    <w:rsid w:val="00892FEC"/>
    <w:rsid w:val="00893B02"/>
    <w:rsid w:val="00894A27"/>
    <w:rsid w:val="00895DDC"/>
    <w:rsid w:val="00896A4C"/>
    <w:rsid w:val="00896EBA"/>
    <w:rsid w:val="0089797F"/>
    <w:rsid w:val="008A08D7"/>
    <w:rsid w:val="008A23C9"/>
    <w:rsid w:val="008A39F8"/>
    <w:rsid w:val="008A574B"/>
    <w:rsid w:val="008A5DC4"/>
    <w:rsid w:val="008B0B3A"/>
    <w:rsid w:val="008B221B"/>
    <w:rsid w:val="008B32A9"/>
    <w:rsid w:val="008C0083"/>
    <w:rsid w:val="008C2EDB"/>
    <w:rsid w:val="008C6C9A"/>
    <w:rsid w:val="008C701E"/>
    <w:rsid w:val="008D0664"/>
    <w:rsid w:val="008D0C79"/>
    <w:rsid w:val="008D1B64"/>
    <w:rsid w:val="008D4162"/>
    <w:rsid w:val="008D4E54"/>
    <w:rsid w:val="008D5F8A"/>
    <w:rsid w:val="008D6B48"/>
    <w:rsid w:val="008E0278"/>
    <w:rsid w:val="008E2B35"/>
    <w:rsid w:val="008E44D6"/>
    <w:rsid w:val="008E4C89"/>
    <w:rsid w:val="008E51AF"/>
    <w:rsid w:val="008E548A"/>
    <w:rsid w:val="008E74A2"/>
    <w:rsid w:val="008F4529"/>
    <w:rsid w:val="008F4B82"/>
    <w:rsid w:val="008F6408"/>
    <w:rsid w:val="008F6A61"/>
    <w:rsid w:val="008F7B4A"/>
    <w:rsid w:val="009006A6"/>
    <w:rsid w:val="00900B34"/>
    <w:rsid w:val="009016D7"/>
    <w:rsid w:val="00903AC3"/>
    <w:rsid w:val="0090412E"/>
    <w:rsid w:val="00904536"/>
    <w:rsid w:val="009046C5"/>
    <w:rsid w:val="0090478A"/>
    <w:rsid w:val="00905B5E"/>
    <w:rsid w:val="009102A7"/>
    <w:rsid w:val="00911D86"/>
    <w:rsid w:val="009144B5"/>
    <w:rsid w:val="009146F6"/>
    <w:rsid w:val="00915015"/>
    <w:rsid w:val="0091526F"/>
    <w:rsid w:val="00915369"/>
    <w:rsid w:val="00915863"/>
    <w:rsid w:val="0091645D"/>
    <w:rsid w:val="00916ED7"/>
    <w:rsid w:val="009216B3"/>
    <w:rsid w:val="00922E70"/>
    <w:rsid w:val="00926E69"/>
    <w:rsid w:val="00930EF7"/>
    <w:rsid w:val="0093125C"/>
    <w:rsid w:val="009317B4"/>
    <w:rsid w:val="009317B8"/>
    <w:rsid w:val="00931BB8"/>
    <w:rsid w:val="00934990"/>
    <w:rsid w:val="009349F6"/>
    <w:rsid w:val="0093545A"/>
    <w:rsid w:val="00935A4D"/>
    <w:rsid w:val="009360D6"/>
    <w:rsid w:val="00936282"/>
    <w:rsid w:val="00936510"/>
    <w:rsid w:val="00941336"/>
    <w:rsid w:val="0094264F"/>
    <w:rsid w:val="00942AC9"/>
    <w:rsid w:val="00945E92"/>
    <w:rsid w:val="009466EE"/>
    <w:rsid w:val="0094698E"/>
    <w:rsid w:val="009506BA"/>
    <w:rsid w:val="00955696"/>
    <w:rsid w:val="009575E1"/>
    <w:rsid w:val="009601F4"/>
    <w:rsid w:val="00960BC7"/>
    <w:rsid w:val="00961A37"/>
    <w:rsid w:val="00962129"/>
    <w:rsid w:val="009632C9"/>
    <w:rsid w:val="009638F4"/>
    <w:rsid w:val="00964625"/>
    <w:rsid w:val="00964DCA"/>
    <w:rsid w:val="009667EE"/>
    <w:rsid w:val="00967E10"/>
    <w:rsid w:val="00970558"/>
    <w:rsid w:val="00971385"/>
    <w:rsid w:val="009716C0"/>
    <w:rsid w:val="009720B6"/>
    <w:rsid w:val="0097316B"/>
    <w:rsid w:val="0097354A"/>
    <w:rsid w:val="00974FAA"/>
    <w:rsid w:val="00977184"/>
    <w:rsid w:val="0097718F"/>
    <w:rsid w:val="009802C9"/>
    <w:rsid w:val="00981167"/>
    <w:rsid w:val="009833EE"/>
    <w:rsid w:val="00983426"/>
    <w:rsid w:val="009857A7"/>
    <w:rsid w:val="00985ABF"/>
    <w:rsid w:val="009867DA"/>
    <w:rsid w:val="00990014"/>
    <w:rsid w:val="009912FB"/>
    <w:rsid w:val="00991685"/>
    <w:rsid w:val="009927FA"/>
    <w:rsid w:val="009967F2"/>
    <w:rsid w:val="00997494"/>
    <w:rsid w:val="00997790"/>
    <w:rsid w:val="009A1741"/>
    <w:rsid w:val="009A3C9A"/>
    <w:rsid w:val="009A3F25"/>
    <w:rsid w:val="009A4F30"/>
    <w:rsid w:val="009A66D0"/>
    <w:rsid w:val="009A7757"/>
    <w:rsid w:val="009B01FC"/>
    <w:rsid w:val="009B1BFE"/>
    <w:rsid w:val="009B2080"/>
    <w:rsid w:val="009B2E9B"/>
    <w:rsid w:val="009B3156"/>
    <w:rsid w:val="009B4EBB"/>
    <w:rsid w:val="009B5624"/>
    <w:rsid w:val="009B5C24"/>
    <w:rsid w:val="009B7367"/>
    <w:rsid w:val="009C36BC"/>
    <w:rsid w:val="009C5D1C"/>
    <w:rsid w:val="009D3414"/>
    <w:rsid w:val="009D3488"/>
    <w:rsid w:val="009D3F76"/>
    <w:rsid w:val="009D4A37"/>
    <w:rsid w:val="009D7ACA"/>
    <w:rsid w:val="009D7C56"/>
    <w:rsid w:val="009E0013"/>
    <w:rsid w:val="009E0EA2"/>
    <w:rsid w:val="009E214D"/>
    <w:rsid w:val="009E288B"/>
    <w:rsid w:val="009E28EC"/>
    <w:rsid w:val="009E315A"/>
    <w:rsid w:val="009E4781"/>
    <w:rsid w:val="009E4841"/>
    <w:rsid w:val="009E52D4"/>
    <w:rsid w:val="009E78E7"/>
    <w:rsid w:val="009E7983"/>
    <w:rsid w:val="009F2E31"/>
    <w:rsid w:val="009F3F1F"/>
    <w:rsid w:val="009F4FB3"/>
    <w:rsid w:val="009F51E4"/>
    <w:rsid w:val="009F71D1"/>
    <w:rsid w:val="00A007B6"/>
    <w:rsid w:val="00A00DD6"/>
    <w:rsid w:val="00A017BA"/>
    <w:rsid w:val="00A01EFD"/>
    <w:rsid w:val="00A02654"/>
    <w:rsid w:val="00A026DF"/>
    <w:rsid w:val="00A03A5F"/>
    <w:rsid w:val="00A04100"/>
    <w:rsid w:val="00A066DE"/>
    <w:rsid w:val="00A075C8"/>
    <w:rsid w:val="00A10B65"/>
    <w:rsid w:val="00A13464"/>
    <w:rsid w:val="00A1352F"/>
    <w:rsid w:val="00A141E5"/>
    <w:rsid w:val="00A15581"/>
    <w:rsid w:val="00A1593F"/>
    <w:rsid w:val="00A15B57"/>
    <w:rsid w:val="00A16819"/>
    <w:rsid w:val="00A20C54"/>
    <w:rsid w:val="00A21F92"/>
    <w:rsid w:val="00A2365D"/>
    <w:rsid w:val="00A2536F"/>
    <w:rsid w:val="00A263F4"/>
    <w:rsid w:val="00A26AF6"/>
    <w:rsid w:val="00A30AF9"/>
    <w:rsid w:val="00A30DB3"/>
    <w:rsid w:val="00A31760"/>
    <w:rsid w:val="00A33A81"/>
    <w:rsid w:val="00A344A6"/>
    <w:rsid w:val="00A35098"/>
    <w:rsid w:val="00A37CC3"/>
    <w:rsid w:val="00A403E9"/>
    <w:rsid w:val="00A406DC"/>
    <w:rsid w:val="00A41119"/>
    <w:rsid w:val="00A4347E"/>
    <w:rsid w:val="00A4381E"/>
    <w:rsid w:val="00A44FFA"/>
    <w:rsid w:val="00A4630E"/>
    <w:rsid w:val="00A47DE3"/>
    <w:rsid w:val="00A51526"/>
    <w:rsid w:val="00A5227A"/>
    <w:rsid w:val="00A55A52"/>
    <w:rsid w:val="00A55DE0"/>
    <w:rsid w:val="00A56F0D"/>
    <w:rsid w:val="00A57D42"/>
    <w:rsid w:val="00A60BBB"/>
    <w:rsid w:val="00A60C83"/>
    <w:rsid w:val="00A60EAC"/>
    <w:rsid w:val="00A63A99"/>
    <w:rsid w:val="00A63BFE"/>
    <w:rsid w:val="00A65F1E"/>
    <w:rsid w:val="00A674B3"/>
    <w:rsid w:val="00A71C5E"/>
    <w:rsid w:val="00A72025"/>
    <w:rsid w:val="00A739AD"/>
    <w:rsid w:val="00A73AEB"/>
    <w:rsid w:val="00A741A2"/>
    <w:rsid w:val="00A75415"/>
    <w:rsid w:val="00A80964"/>
    <w:rsid w:val="00A8119F"/>
    <w:rsid w:val="00A83111"/>
    <w:rsid w:val="00A84047"/>
    <w:rsid w:val="00A84A7E"/>
    <w:rsid w:val="00A855AA"/>
    <w:rsid w:val="00A85982"/>
    <w:rsid w:val="00A86021"/>
    <w:rsid w:val="00A87BC9"/>
    <w:rsid w:val="00A90123"/>
    <w:rsid w:val="00A91D2B"/>
    <w:rsid w:val="00A934C1"/>
    <w:rsid w:val="00A972FF"/>
    <w:rsid w:val="00AA22FC"/>
    <w:rsid w:val="00AA623D"/>
    <w:rsid w:val="00AB0683"/>
    <w:rsid w:val="00AB179B"/>
    <w:rsid w:val="00AB197C"/>
    <w:rsid w:val="00AB199E"/>
    <w:rsid w:val="00AB2DA9"/>
    <w:rsid w:val="00AB2F66"/>
    <w:rsid w:val="00AB3EA9"/>
    <w:rsid w:val="00AB5052"/>
    <w:rsid w:val="00AB5560"/>
    <w:rsid w:val="00AB5D22"/>
    <w:rsid w:val="00AC1E71"/>
    <w:rsid w:val="00AC2EF3"/>
    <w:rsid w:val="00AC4A42"/>
    <w:rsid w:val="00AC4C9F"/>
    <w:rsid w:val="00AC58FC"/>
    <w:rsid w:val="00AC63F5"/>
    <w:rsid w:val="00AD2BF5"/>
    <w:rsid w:val="00AD2DA6"/>
    <w:rsid w:val="00AD48BE"/>
    <w:rsid w:val="00AD4CAD"/>
    <w:rsid w:val="00AD4D63"/>
    <w:rsid w:val="00AD5E69"/>
    <w:rsid w:val="00AD5FEB"/>
    <w:rsid w:val="00AD6CDE"/>
    <w:rsid w:val="00AD7424"/>
    <w:rsid w:val="00AD7AA1"/>
    <w:rsid w:val="00AE16EC"/>
    <w:rsid w:val="00AE7B86"/>
    <w:rsid w:val="00AF2305"/>
    <w:rsid w:val="00AF2A93"/>
    <w:rsid w:val="00AF2F84"/>
    <w:rsid w:val="00AF3DA7"/>
    <w:rsid w:val="00AF46AA"/>
    <w:rsid w:val="00AF5192"/>
    <w:rsid w:val="00AF596F"/>
    <w:rsid w:val="00AF5D98"/>
    <w:rsid w:val="00AF63FA"/>
    <w:rsid w:val="00AF7307"/>
    <w:rsid w:val="00B01460"/>
    <w:rsid w:val="00B03A57"/>
    <w:rsid w:val="00B03A9E"/>
    <w:rsid w:val="00B044C6"/>
    <w:rsid w:val="00B04F39"/>
    <w:rsid w:val="00B05898"/>
    <w:rsid w:val="00B06989"/>
    <w:rsid w:val="00B11FF2"/>
    <w:rsid w:val="00B1648F"/>
    <w:rsid w:val="00B16EEC"/>
    <w:rsid w:val="00B17260"/>
    <w:rsid w:val="00B20C11"/>
    <w:rsid w:val="00B2222C"/>
    <w:rsid w:val="00B23816"/>
    <w:rsid w:val="00B238AF"/>
    <w:rsid w:val="00B23CE8"/>
    <w:rsid w:val="00B23E30"/>
    <w:rsid w:val="00B26221"/>
    <w:rsid w:val="00B26243"/>
    <w:rsid w:val="00B27A34"/>
    <w:rsid w:val="00B30ACC"/>
    <w:rsid w:val="00B31377"/>
    <w:rsid w:val="00B32293"/>
    <w:rsid w:val="00B33513"/>
    <w:rsid w:val="00B34F63"/>
    <w:rsid w:val="00B35670"/>
    <w:rsid w:val="00B3599E"/>
    <w:rsid w:val="00B36056"/>
    <w:rsid w:val="00B36557"/>
    <w:rsid w:val="00B37485"/>
    <w:rsid w:val="00B37CB8"/>
    <w:rsid w:val="00B4012B"/>
    <w:rsid w:val="00B40EDB"/>
    <w:rsid w:val="00B41DD5"/>
    <w:rsid w:val="00B43126"/>
    <w:rsid w:val="00B447CB"/>
    <w:rsid w:val="00B44F85"/>
    <w:rsid w:val="00B45443"/>
    <w:rsid w:val="00B45883"/>
    <w:rsid w:val="00B45A7A"/>
    <w:rsid w:val="00B470B0"/>
    <w:rsid w:val="00B5275C"/>
    <w:rsid w:val="00B53A21"/>
    <w:rsid w:val="00B53B49"/>
    <w:rsid w:val="00B548FA"/>
    <w:rsid w:val="00B54A0A"/>
    <w:rsid w:val="00B56FF3"/>
    <w:rsid w:val="00B57AFD"/>
    <w:rsid w:val="00B57EA9"/>
    <w:rsid w:val="00B641F8"/>
    <w:rsid w:val="00B64399"/>
    <w:rsid w:val="00B65667"/>
    <w:rsid w:val="00B7228A"/>
    <w:rsid w:val="00B76399"/>
    <w:rsid w:val="00B7662E"/>
    <w:rsid w:val="00B811D1"/>
    <w:rsid w:val="00B82086"/>
    <w:rsid w:val="00B82CD0"/>
    <w:rsid w:val="00B84A25"/>
    <w:rsid w:val="00B91263"/>
    <w:rsid w:val="00B927E5"/>
    <w:rsid w:val="00B9457B"/>
    <w:rsid w:val="00B94B05"/>
    <w:rsid w:val="00B95531"/>
    <w:rsid w:val="00B975F3"/>
    <w:rsid w:val="00BA1E11"/>
    <w:rsid w:val="00BA6F60"/>
    <w:rsid w:val="00BB206A"/>
    <w:rsid w:val="00BB3B42"/>
    <w:rsid w:val="00BB69A5"/>
    <w:rsid w:val="00BC0EFB"/>
    <w:rsid w:val="00BC18E8"/>
    <w:rsid w:val="00BC21EE"/>
    <w:rsid w:val="00BC2A78"/>
    <w:rsid w:val="00BC5D72"/>
    <w:rsid w:val="00BC5FFE"/>
    <w:rsid w:val="00BC65D8"/>
    <w:rsid w:val="00BC76E0"/>
    <w:rsid w:val="00BD0BEC"/>
    <w:rsid w:val="00BD1415"/>
    <w:rsid w:val="00BD19A1"/>
    <w:rsid w:val="00BD2068"/>
    <w:rsid w:val="00BD316B"/>
    <w:rsid w:val="00BD32FC"/>
    <w:rsid w:val="00BD3465"/>
    <w:rsid w:val="00BD4141"/>
    <w:rsid w:val="00BD4653"/>
    <w:rsid w:val="00BD560B"/>
    <w:rsid w:val="00BD6475"/>
    <w:rsid w:val="00BE21A3"/>
    <w:rsid w:val="00BE2499"/>
    <w:rsid w:val="00BE30CB"/>
    <w:rsid w:val="00BE54EE"/>
    <w:rsid w:val="00BE5AEC"/>
    <w:rsid w:val="00BE6721"/>
    <w:rsid w:val="00BF0271"/>
    <w:rsid w:val="00BF06DD"/>
    <w:rsid w:val="00BF12C4"/>
    <w:rsid w:val="00BF2C0E"/>
    <w:rsid w:val="00BF4A2D"/>
    <w:rsid w:val="00BF4F92"/>
    <w:rsid w:val="00BF5E81"/>
    <w:rsid w:val="00BF65CA"/>
    <w:rsid w:val="00C00128"/>
    <w:rsid w:val="00C01123"/>
    <w:rsid w:val="00C039EA"/>
    <w:rsid w:val="00C03A44"/>
    <w:rsid w:val="00C0504E"/>
    <w:rsid w:val="00C056BD"/>
    <w:rsid w:val="00C1110D"/>
    <w:rsid w:val="00C11A50"/>
    <w:rsid w:val="00C127B1"/>
    <w:rsid w:val="00C12F65"/>
    <w:rsid w:val="00C134B7"/>
    <w:rsid w:val="00C143AB"/>
    <w:rsid w:val="00C15E87"/>
    <w:rsid w:val="00C164B1"/>
    <w:rsid w:val="00C175D0"/>
    <w:rsid w:val="00C20801"/>
    <w:rsid w:val="00C2096B"/>
    <w:rsid w:val="00C21A8D"/>
    <w:rsid w:val="00C21E2C"/>
    <w:rsid w:val="00C22D8B"/>
    <w:rsid w:val="00C2383A"/>
    <w:rsid w:val="00C24DB0"/>
    <w:rsid w:val="00C26B1C"/>
    <w:rsid w:val="00C26C18"/>
    <w:rsid w:val="00C274AA"/>
    <w:rsid w:val="00C278E6"/>
    <w:rsid w:val="00C32965"/>
    <w:rsid w:val="00C3426D"/>
    <w:rsid w:val="00C3594A"/>
    <w:rsid w:val="00C444EB"/>
    <w:rsid w:val="00C44ADA"/>
    <w:rsid w:val="00C46060"/>
    <w:rsid w:val="00C50711"/>
    <w:rsid w:val="00C50B85"/>
    <w:rsid w:val="00C50CFD"/>
    <w:rsid w:val="00C515ED"/>
    <w:rsid w:val="00C51E68"/>
    <w:rsid w:val="00C523C6"/>
    <w:rsid w:val="00C525BA"/>
    <w:rsid w:val="00C528D1"/>
    <w:rsid w:val="00C53065"/>
    <w:rsid w:val="00C54204"/>
    <w:rsid w:val="00C555F7"/>
    <w:rsid w:val="00C55EF8"/>
    <w:rsid w:val="00C56446"/>
    <w:rsid w:val="00C57CA8"/>
    <w:rsid w:val="00C60863"/>
    <w:rsid w:val="00C61108"/>
    <w:rsid w:val="00C6285D"/>
    <w:rsid w:val="00C639DC"/>
    <w:rsid w:val="00C639E3"/>
    <w:rsid w:val="00C66AB0"/>
    <w:rsid w:val="00C6709D"/>
    <w:rsid w:val="00C70563"/>
    <w:rsid w:val="00C71267"/>
    <w:rsid w:val="00C71292"/>
    <w:rsid w:val="00C71484"/>
    <w:rsid w:val="00C716CA"/>
    <w:rsid w:val="00C71DCD"/>
    <w:rsid w:val="00C72305"/>
    <w:rsid w:val="00C735A7"/>
    <w:rsid w:val="00C75207"/>
    <w:rsid w:val="00C76FAC"/>
    <w:rsid w:val="00C822D3"/>
    <w:rsid w:val="00C8566F"/>
    <w:rsid w:val="00C859AE"/>
    <w:rsid w:val="00C8602D"/>
    <w:rsid w:val="00C87C43"/>
    <w:rsid w:val="00C91ED7"/>
    <w:rsid w:val="00C91F08"/>
    <w:rsid w:val="00C935B5"/>
    <w:rsid w:val="00C936E4"/>
    <w:rsid w:val="00C96D32"/>
    <w:rsid w:val="00C979D0"/>
    <w:rsid w:val="00CA3E83"/>
    <w:rsid w:val="00CA410E"/>
    <w:rsid w:val="00CA447E"/>
    <w:rsid w:val="00CB0CDF"/>
    <w:rsid w:val="00CB0FE7"/>
    <w:rsid w:val="00CB1D69"/>
    <w:rsid w:val="00CB1DDE"/>
    <w:rsid w:val="00CB20DA"/>
    <w:rsid w:val="00CB27FD"/>
    <w:rsid w:val="00CB528D"/>
    <w:rsid w:val="00CB635C"/>
    <w:rsid w:val="00CB7321"/>
    <w:rsid w:val="00CB7DE7"/>
    <w:rsid w:val="00CB7E0A"/>
    <w:rsid w:val="00CC2849"/>
    <w:rsid w:val="00CC2ACE"/>
    <w:rsid w:val="00CC3027"/>
    <w:rsid w:val="00CC421B"/>
    <w:rsid w:val="00CC6785"/>
    <w:rsid w:val="00CC6B0D"/>
    <w:rsid w:val="00CC78CA"/>
    <w:rsid w:val="00CD1BC6"/>
    <w:rsid w:val="00CD2F11"/>
    <w:rsid w:val="00CD4794"/>
    <w:rsid w:val="00CD47BC"/>
    <w:rsid w:val="00CD50C2"/>
    <w:rsid w:val="00CD548B"/>
    <w:rsid w:val="00CD5943"/>
    <w:rsid w:val="00CE010C"/>
    <w:rsid w:val="00CE0A21"/>
    <w:rsid w:val="00CE10BD"/>
    <w:rsid w:val="00CE1A39"/>
    <w:rsid w:val="00CE1F17"/>
    <w:rsid w:val="00CE7D27"/>
    <w:rsid w:val="00CE7F13"/>
    <w:rsid w:val="00CF26BF"/>
    <w:rsid w:val="00CF271C"/>
    <w:rsid w:val="00CF385B"/>
    <w:rsid w:val="00CF3FB2"/>
    <w:rsid w:val="00CF5AD6"/>
    <w:rsid w:val="00CF73BF"/>
    <w:rsid w:val="00D004BE"/>
    <w:rsid w:val="00D00DBC"/>
    <w:rsid w:val="00D03329"/>
    <w:rsid w:val="00D03586"/>
    <w:rsid w:val="00D040A4"/>
    <w:rsid w:val="00D04B9D"/>
    <w:rsid w:val="00D05726"/>
    <w:rsid w:val="00D075C6"/>
    <w:rsid w:val="00D1095F"/>
    <w:rsid w:val="00D11381"/>
    <w:rsid w:val="00D118F4"/>
    <w:rsid w:val="00D14FB9"/>
    <w:rsid w:val="00D213E9"/>
    <w:rsid w:val="00D21A0E"/>
    <w:rsid w:val="00D26D8E"/>
    <w:rsid w:val="00D305D1"/>
    <w:rsid w:val="00D30E72"/>
    <w:rsid w:val="00D33B6C"/>
    <w:rsid w:val="00D3454C"/>
    <w:rsid w:val="00D3498F"/>
    <w:rsid w:val="00D34ED2"/>
    <w:rsid w:val="00D37993"/>
    <w:rsid w:val="00D37F45"/>
    <w:rsid w:val="00D41043"/>
    <w:rsid w:val="00D4105E"/>
    <w:rsid w:val="00D42E24"/>
    <w:rsid w:val="00D45A54"/>
    <w:rsid w:val="00D45B7B"/>
    <w:rsid w:val="00D46107"/>
    <w:rsid w:val="00D47C44"/>
    <w:rsid w:val="00D50854"/>
    <w:rsid w:val="00D50899"/>
    <w:rsid w:val="00D54158"/>
    <w:rsid w:val="00D5688B"/>
    <w:rsid w:val="00D60DAA"/>
    <w:rsid w:val="00D6354D"/>
    <w:rsid w:val="00D63BA8"/>
    <w:rsid w:val="00D63D21"/>
    <w:rsid w:val="00D63D53"/>
    <w:rsid w:val="00D706C3"/>
    <w:rsid w:val="00D7090B"/>
    <w:rsid w:val="00D72181"/>
    <w:rsid w:val="00D7396F"/>
    <w:rsid w:val="00D7523E"/>
    <w:rsid w:val="00D76A33"/>
    <w:rsid w:val="00D774F5"/>
    <w:rsid w:val="00D81AF1"/>
    <w:rsid w:val="00D843D7"/>
    <w:rsid w:val="00D84E4B"/>
    <w:rsid w:val="00D85BDA"/>
    <w:rsid w:val="00D86E5A"/>
    <w:rsid w:val="00D87E5B"/>
    <w:rsid w:val="00D90345"/>
    <w:rsid w:val="00D91C73"/>
    <w:rsid w:val="00D92A4E"/>
    <w:rsid w:val="00D934F5"/>
    <w:rsid w:val="00D95CBC"/>
    <w:rsid w:val="00D96F6E"/>
    <w:rsid w:val="00D97D5E"/>
    <w:rsid w:val="00DA4017"/>
    <w:rsid w:val="00DA5B94"/>
    <w:rsid w:val="00DA5F50"/>
    <w:rsid w:val="00DA72DC"/>
    <w:rsid w:val="00DA78A2"/>
    <w:rsid w:val="00DB16ED"/>
    <w:rsid w:val="00DB2D8C"/>
    <w:rsid w:val="00DB3DA0"/>
    <w:rsid w:val="00DB59CA"/>
    <w:rsid w:val="00DB5C76"/>
    <w:rsid w:val="00DB5F64"/>
    <w:rsid w:val="00DB65C5"/>
    <w:rsid w:val="00DB6B4D"/>
    <w:rsid w:val="00DB6C08"/>
    <w:rsid w:val="00DB6C1A"/>
    <w:rsid w:val="00DB7FE5"/>
    <w:rsid w:val="00DC0159"/>
    <w:rsid w:val="00DC0500"/>
    <w:rsid w:val="00DC0E02"/>
    <w:rsid w:val="00DC14AA"/>
    <w:rsid w:val="00DC478D"/>
    <w:rsid w:val="00DC5090"/>
    <w:rsid w:val="00DC5F62"/>
    <w:rsid w:val="00DC644F"/>
    <w:rsid w:val="00DD1675"/>
    <w:rsid w:val="00DD1854"/>
    <w:rsid w:val="00DD2B27"/>
    <w:rsid w:val="00DD2E77"/>
    <w:rsid w:val="00DD46EB"/>
    <w:rsid w:val="00DD6D90"/>
    <w:rsid w:val="00DD776A"/>
    <w:rsid w:val="00DE034D"/>
    <w:rsid w:val="00DE261E"/>
    <w:rsid w:val="00DE35DB"/>
    <w:rsid w:val="00DE3CE7"/>
    <w:rsid w:val="00DE7144"/>
    <w:rsid w:val="00DF3569"/>
    <w:rsid w:val="00DF4515"/>
    <w:rsid w:val="00DF673F"/>
    <w:rsid w:val="00DF7BBB"/>
    <w:rsid w:val="00E00276"/>
    <w:rsid w:val="00E02B4E"/>
    <w:rsid w:val="00E039F9"/>
    <w:rsid w:val="00E05428"/>
    <w:rsid w:val="00E100AC"/>
    <w:rsid w:val="00E15005"/>
    <w:rsid w:val="00E15CE8"/>
    <w:rsid w:val="00E1655A"/>
    <w:rsid w:val="00E16B20"/>
    <w:rsid w:val="00E216A6"/>
    <w:rsid w:val="00E2749E"/>
    <w:rsid w:val="00E328D3"/>
    <w:rsid w:val="00E33229"/>
    <w:rsid w:val="00E332F7"/>
    <w:rsid w:val="00E33461"/>
    <w:rsid w:val="00E35B18"/>
    <w:rsid w:val="00E363F6"/>
    <w:rsid w:val="00E36F79"/>
    <w:rsid w:val="00E374E0"/>
    <w:rsid w:val="00E41C73"/>
    <w:rsid w:val="00E41DE4"/>
    <w:rsid w:val="00E42159"/>
    <w:rsid w:val="00E473A3"/>
    <w:rsid w:val="00E47430"/>
    <w:rsid w:val="00E47450"/>
    <w:rsid w:val="00E4775F"/>
    <w:rsid w:val="00E5043D"/>
    <w:rsid w:val="00E50484"/>
    <w:rsid w:val="00E523F8"/>
    <w:rsid w:val="00E54794"/>
    <w:rsid w:val="00E60DC2"/>
    <w:rsid w:val="00E6233B"/>
    <w:rsid w:val="00E63EE9"/>
    <w:rsid w:val="00E64C0E"/>
    <w:rsid w:val="00E67E7F"/>
    <w:rsid w:val="00E719A5"/>
    <w:rsid w:val="00E7318B"/>
    <w:rsid w:val="00E7790A"/>
    <w:rsid w:val="00E77C08"/>
    <w:rsid w:val="00E801DE"/>
    <w:rsid w:val="00E814AC"/>
    <w:rsid w:val="00E8171D"/>
    <w:rsid w:val="00E81C52"/>
    <w:rsid w:val="00E82A7A"/>
    <w:rsid w:val="00E84E4F"/>
    <w:rsid w:val="00E867B4"/>
    <w:rsid w:val="00E879B5"/>
    <w:rsid w:val="00E87F29"/>
    <w:rsid w:val="00E917E1"/>
    <w:rsid w:val="00E9223E"/>
    <w:rsid w:val="00E9253B"/>
    <w:rsid w:val="00E928E2"/>
    <w:rsid w:val="00E92C22"/>
    <w:rsid w:val="00E92F00"/>
    <w:rsid w:val="00E950D1"/>
    <w:rsid w:val="00E950E7"/>
    <w:rsid w:val="00E95ABF"/>
    <w:rsid w:val="00E95D4B"/>
    <w:rsid w:val="00E9758C"/>
    <w:rsid w:val="00E97592"/>
    <w:rsid w:val="00E97F4A"/>
    <w:rsid w:val="00EA1ACE"/>
    <w:rsid w:val="00EA2440"/>
    <w:rsid w:val="00EA2A81"/>
    <w:rsid w:val="00EA35D6"/>
    <w:rsid w:val="00EA6894"/>
    <w:rsid w:val="00EA7477"/>
    <w:rsid w:val="00EA77F3"/>
    <w:rsid w:val="00EB3CE1"/>
    <w:rsid w:val="00EB5D6A"/>
    <w:rsid w:val="00EB5F17"/>
    <w:rsid w:val="00EB6D71"/>
    <w:rsid w:val="00EC075B"/>
    <w:rsid w:val="00EC3F55"/>
    <w:rsid w:val="00EC4A55"/>
    <w:rsid w:val="00EC5BEA"/>
    <w:rsid w:val="00EC5D8C"/>
    <w:rsid w:val="00EC7530"/>
    <w:rsid w:val="00ED0125"/>
    <w:rsid w:val="00ED03FA"/>
    <w:rsid w:val="00ED0656"/>
    <w:rsid w:val="00ED076F"/>
    <w:rsid w:val="00EE3863"/>
    <w:rsid w:val="00EE409A"/>
    <w:rsid w:val="00EE6183"/>
    <w:rsid w:val="00EE6397"/>
    <w:rsid w:val="00EE6605"/>
    <w:rsid w:val="00EE79C9"/>
    <w:rsid w:val="00EF4E5C"/>
    <w:rsid w:val="00EF582B"/>
    <w:rsid w:val="00EF6C72"/>
    <w:rsid w:val="00EF6E86"/>
    <w:rsid w:val="00F0000F"/>
    <w:rsid w:val="00F00AF7"/>
    <w:rsid w:val="00F01066"/>
    <w:rsid w:val="00F033E6"/>
    <w:rsid w:val="00F04B06"/>
    <w:rsid w:val="00F04FCA"/>
    <w:rsid w:val="00F05F9A"/>
    <w:rsid w:val="00F07694"/>
    <w:rsid w:val="00F07BDD"/>
    <w:rsid w:val="00F1019B"/>
    <w:rsid w:val="00F12D19"/>
    <w:rsid w:val="00F1412A"/>
    <w:rsid w:val="00F14E3E"/>
    <w:rsid w:val="00F15550"/>
    <w:rsid w:val="00F1588F"/>
    <w:rsid w:val="00F16A90"/>
    <w:rsid w:val="00F171EE"/>
    <w:rsid w:val="00F20ED0"/>
    <w:rsid w:val="00F276BE"/>
    <w:rsid w:val="00F3333E"/>
    <w:rsid w:val="00F3385A"/>
    <w:rsid w:val="00F349A7"/>
    <w:rsid w:val="00F35275"/>
    <w:rsid w:val="00F36A41"/>
    <w:rsid w:val="00F36E4A"/>
    <w:rsid w:val="00F40872"/>
    <w:rsid w:val="00F418D0"/>
    <w:rsid w:val="00F42328"/>
    <w:rsid w:val="00F42671"/>
    <w:rsid w:val="00F50CB0"/>
    <w:rsid w:val="00F52C83"/>
    <w:rsid w:val="00F54657"/>
    <w:rsid w:val="00F555DE"/>
    <w:rsid w:val="00F55D85"/>
    <w:rsid w:val="00F56885"/>
    <w:rsid w:val="00F56DC0"/>
    <w:rsid w:val="00F60452"/>
    <w:rsid w:val="00F612C8"/>
    <w:rsid w:val="00F61DE6"/>
    <w:rsid w:val="00F63896"/>
    <w:rsid w:val="00F6400C"/>
    <w:rsid w:val="00F66FE7"/>
    <w:rsid w:val="00F67F1F"/>
    <w:rsid w:val="00F7000C"/>
    <w:rsid w:val="00F71008"/>
    <w:rsid w:val="00F72B57"/>
    <w:rsid w:val="00F73196"/>
    <w:rsid w:val="00F74B44"/>
    <w:rsid w:val="00F75823"/>
    <w:rsid w:val="00F772C4"/>
    <w:rsid w:val="00F77DC4"/>
    <w:rsid w:val="00F8098C"/>
    <w:rsid w:val="00F81978"/>
    <w:rsid w:val="00F84A29"/>
    <w:rsid w:val="00F91225"/>
    <w:rsid w:val="00F913C1"/>
    <w:rsid w:val="00F91475"/>
    <w:rsid w:val="00F9518C"/>
    <w:rsid w:val="00F962AA"/>
    <w:rsid w:val="00F97AFC"/>
    <w:rsid w:val="00F97D20"/>
    <w:rsid w:val="00FA4AA2"/>
    <w:rsid w:val="00FA5090"/>
    <w:rsid w:val="00FA5A84"/>
    <w:rsid w:val="00FA6654"/>
    <w:rsid w:val="00FA727F"/>
    <w:rsid w:val="00FA72A2"/>
    <w:rsid w:val="00FB48D4"/>
    <w:rsid w:val="00FB65C9"/>
    <w:rsid w:val="00FB7389"/>
    <w:rsid w:val="00FB79E6"/>
    <w:rsid w:val="00FC0871"/>
    <w:rsid w:val="00FC0D1D"/>
    <w:rsid w:val="00FC0EAE"/>
    <w:rsid w:val="00FC13CF"/>
    <w:rsid w:val="00FC1DF6"/>
    <w:rsid w:val="00FC1ECC"/>
    <w:rsid w:val="00FC2012"/>
    <w:rsid w:val="00FC27B2"/>
    <w:rsid w:val="00FC2DC8"/>
    <w:rsid w:val="00FC3E8E"/>
    <w:rsid w:val="00FC5373"/>
    <w:rsid w:val="00FC64F1"/>
    <w:rsid w:val="00FC6C5F"/>
    <w:rsid w:val="00FD3D3B"/>
    <w:rsid w:val="00FD4046"/>
    <w:rsid w:val="00FD6295"/>
    <w:rsid w:val="00FD64CA"/>
    <w:rsid w:val="00FD706A"/>
    <w:rsid w:val="00FD776A"/>
    <w:rsid w:val="00FE1625"/>
    <w:rsid w:val="00FE3CF0"/>
    <w:rsid w:val="00FE3E1C"/>
    <w:rsid w:val="00FE519C"/>
    <w:rsid w:val="00FE57C2"/>
    <w:rsid w:val="00FE5CB1"/>
    <w:rsid w:val="00FF00BE"/>
    <w:rsid w:val="00FF32A1"/>
    <w:rsid w:val="00FF41BA"/>
    <w:rsid w:val="00FF4E89"/>
    <w:rsid w:val="00FF60E9"/>
    <w:rsid w:val="00F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D80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FA727F"/>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FA727F"/>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FA727F"/>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FA727F"/>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FA727F"/>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FA727F"/>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FA727F"/>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FA727F"/>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FA727F"/>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1"/>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paragraph" w:customStyle="1" w:styleId="BlockIndent">
    <w:name w:val="Block Indent"/>
    <w:basedOn w:val="Normal"/>
    <w:next w:val="FERCparanumber"/>
    <w:link w:val="BlockIndentChar"/>
    <w:rsid w:val="00715479"/>
    <w:pPr>
      <w:widowControl/>
      <w:spacing w:after="240"/>
      <w:ind w:left="1440" w:right="1440"/>
    </w:pPr>
  </w:style>
  <w:style w:type="character" w:customStyle="1" w:styleId="BlockIndentChar">
    <w:name w:val="Block Indent Char"/>
    <w:basedOn w:val="FERCparanumberChar"/>
    <w:link w:val="BlockIndent"/>
    <w:rsid w:val="00715479"/>
    <w:rPr>
      <w:rFonts w:ascii="Times New Roman" w:hAnsi="Times New Roman" w:cs="Times New Roman"/>
      <w:sz w:val="26"/>
    </w:rPr>
  </w:style>
  <w:style w:type="character" w:customStyle="1" w:styleId="UnresolvedMention1">
    <w:name w:val="Unresolved Mention1"/>
    <w:basedOn w:val="DefaultParagraphFont"/>
    <w:uiPriority w:val="99"/>
    <w:semiHidden/>
    <w:unhideWhenUsed/>
    <w:rsid w:val="00294575"/>
    <w:rPr>
      <w:color w:val="605E5C"/>
      <w:shd w:val="clear" w:color="auto" w:fill="E1DFDD"/>
    </w:rPr>
  </w:style>
  <w:style w:type="paragraph" w:styleId="Revision">
    <w:name w:val="Revision"/>
    <w:hidden/>
    <w:uiPriority w:val="99"/>
    <w:semiHidden/>
    <w:rsid w:val="0078548A"/>
    <w:pPr>
      <w:spacing w:after="0" w:line="240" w:lineRule="auto"/>
    </w:pPr>
    <w:rPr>
      <w:rFonts w:ascii="Times New Roman" w:hAnsi="Times New Roman" w:cs="Times New Roman"/>
      <w:sz w:val="26"/>
    </w:rPr>
  </w:style>
  <w:style w:type="character" w:customStyle="1" w:styleId="FootnoteTextChar">
    <w:name w:val="Footnote Text Char"/>
    <w:basedOn w:val="DefaultParagraphFont"/>
    <w:link w:val="FootnoteText"/>
    <w:uiPriority w:val="99"/>
    <w:rsid w:val="00135F49"/>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313216">
      <w:bodyDiv w:val="1"/>
      <w:marLeft w:val="0"/>
      <w:marRight w:val="0"/>
      <w:marTop w:val="0"/>
      <w:marBottom w:val="0"/>
      <w:divBdr>
        <w:top w:val="none" w:sz="0" w:space="0" w:color="auto"/>
        <w:left w:val="none" w:sz="0" w:space="0" w:color="auto"/>
        <w:bottom w:val="none" w:sz="0" w:space="0" w:color="auto"/>
        <w:right w:val="none" w:sz="0" w:space="0" w:color="auto"/>
      </w:divBdr>
      <w:divsChild>
        <w:div w:id="134570152">
          <w:marLeft w:val="0"/>
          <w:marRight w:val="0"/>
          <w:marTop w:val="0"/>
          <w:marBottom w:val="0"/>
          <w:divBdr>
            <w:top w:val="none" w:sz="0" w:space="0" w:color="auto"/>
            <w:left w:val="none" w:sz="0" w:space="0" w:color="auto"/>
            <w:bottom w:val="none" w:sz="0" w:space="0" w:color="auto"/>
            <w:right w:val="none" w:sz="0" w:space="0" w:color="auto"/>
          </w:divBdr>
        </w:div>
      </w:divsChild>
    </w:div>
    <w:div w:id="1013796621">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671828993">
      <w:bodyDiv w:val="1"/>
      <w:marLeft w:val="0"/>
      <w:marRight w:val="0"/>
      <w:marTop w:val="0"/>
      <w:marBottom w:val="0"/>
      <w:divBdr>
        <w:top w:val="none" w:sz="0" w:space="0" w:color="auto"/>
        <w:left w:val="none" w:sz="0" w:space="0" w:color="auto"/>
        <w:bottom w:val="none" w:sz="0" w:space="0" w:color="auto"/>
        <w:right w:val="none" w:sz="0" w:space="0" w:color="auto"/>
      </w:divBdr>
      <w:divsChild>
        <w:div w:id="183842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B8AA-0AD6-44BD-86DE-7490DBE78029}">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5e8733a2-e908-454b-85cf-c9d17e1d094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59EB5A-1B67-430D-AAF7-6CBB8584E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C984B-F0B8-415A-9F3E-2A223E63CCB1}">
  <ds:schemaRefs>
    <ds:schemaRef ds:uri="Microsoft.SharePoint.Taxonomy.ContentTypeSync"/>
  </ds:schemaRefs>
</ds:datastoreItem>
</file>

<file path=customXml/itemProps4.xml><?xml version="1.0" encoding="utf-8"?>
<ds:datastoreItem xmlns:ds="http://schemas.openxmlformats.org/officeDocument/2006/customXml" ds:itemID="{91A28FF2-C978-4AAF-AE20-52777AD8BC83}">
  <ds:schemaRefs>
    <ds:schemaRef ds:uri="http://schemas.microsoft.com/sharepoint/v3/contenttype/forms"/>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2022-01-21T16:38:00Z</dcterms:created>
  <dcterms:modified xsi:type="dcterms:W3CDTF">2022-01-21T16:38:00Z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ies>
</file>