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D4929" w14:textId="77777777" w:rsidR="00486CC7" w:rsidRDefault="00A3607C">
      <w:pPr>
        <w:jc w:val="center"/>
      </w:pPr>
      <w:r>
        <w:t>174 FERC ¶ 61,053</w:t>
      </w:r>
    </w:p>
    <w:p w14:paraId="5EB04B46" w14:textId="5E812BF5" w:rsidR="00A06075" w:rsidRPr="00CD0B38" w:rsidRDefault="00A06075" w:rsidP="00C339E0">
      <w:pPr>
        <w:jc w:val="center"/>
      </w:pPr>
      <w:r>
        <w:rPr>
          <w:b/>
        </w:rPr>
        <w:fldChar w:fldCharType="begin"/>
      </w:r>
      <w:r>
        <w:rPr>
          <w:b/>
        </w:rPr>
        <w:instrText xml:space="preserve"> MACROBUTTON  AcceptAllChangesInDoc </w:instrText>
      </w:r>
      <w:r>
        <w:rPr>
          <w:b/>
        </w:rPr>
        <w:fldChar w:fldCharType="end"/>
      </w:r>
      <w:r w:rsidRPr="00CD0B38">
        <w:t>UNITED STATES OF AMERICA</w:t>
      </w:r>
    </w:p>
    <w:p w14:paraId="2C44AE06" w14:textId="77777777" w:rsidR="00A06075" w:rsidRPr="00CD0B38" w:rsidRDefault="00A06075" w:rsidP="00BC222D">
      <w:pPr>
        <w:jc w:val="center"/>
      </w:pPr>
      <w:r w:rsidRPr="00CD0B38">
        <w:t>FEDERAL ENERGY REGULATORY COMMISSION</w:t>
      </w:r>
    </w:p>
    <w:p w14:paraId="61D4DDBD" w14:textId="77777777" w:rsidR="00A06075" w:rsidRPr="00CD0B38" w:rsidRDefault="00A06075" w:rsidP="00BC222D"/>
    <w:p w14:paraId="7C7AB87A" w14:textId="77777777" w:rsidR="00C339E0" w:rsidRPr="00C339E0" w:rsidRDefault="00C339E0" w:rsidP="00C339E0">
      <w:pPr>
        <w:widowControl/>
      </w:pPr>
      <w:r w:rsidRPr="00C339E0">
        <w:t xml:space="preserve">Before Commissioners:  James P. </w:t>
      </w:r>
      <w:proofErr w:type="spellStart"/>
      <w:r w:rsidRPr="00C339E0">
        <w:t>Danly</w:t>
      </w:r>
      <w:proofErr w:type="spellEnd"/>
      <w:r w:rsidRPr="00C339E0">
        <w:t>, Chairman;</w:t>
      </w:r>
    </w:p>
    <w:p w14:paraId="66441BD3" w14:textId="77777777" w:rsidR="00C339E0" w:rsidRPr="00C339E0" w:rsidRDefault="00C339E0" w:rsidP="00C339E0">
      <w:pPr>
        <w:widowControl/>
      </w:pPr>
      <w:r w:rsidRPr="00C339E0">
        <w:t xml:space="preserve">                                        Neil Chatterjee, Richard Glick,</w:t>
      </w:r>
    </w:p>
    <w:p w14:paraId="3E4B9964" w14:textId="5DEC6982" w:rsidR="00A06075" w:rsidRPr="00CD0B38" w:rsidRDefault="00C339E0" w:rsidP="00C339E0">
      <w:pPr>
        <w:widowControl/>
      </w:pPr>
      <w:r w:rsidRPr="00C339E0">
        <w:t xml:space="preserve">                                        Allison Clements, and Mark C. Christie.</w:t>
      </w:r>
      <w:r w:rsidR="00A06075" w:rsidRPr="00CD0B38">
        <w:t xml:space="preserve"> </w:t>
      </w:r>
    </w:p>
    <w:p w14:paraId="75486339" w14:textId="77777777" w:rsidR="00A06075" w:rsidRPr="00CD0B38" w:rsidRDefault="00A06075" w:rsidP="00BC22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1"/>
        <w:gridCol w:w="1535"/>
        <w:gridCol w:w="1894"/>
      </w:tblGrid>
      <w:tr w:rsidR="00A06075" w:rsidRPr="00CD0B38" w14:paraId="47DBCC8F" w14:textId="77777777" w:rsidTr="00A06075">
        <w:tc>
          <w:tcPr>
            <w:tcW w:w="6088" w:type="dxa"/>
            <w:shd w:val="clear" w:color="auto" w:fill="auto"/>
          </w:tcPr>
          <w:p w14:paraId="75137000" w14:textId="4E70DA9F" w:rsidR="00A06075" w:rsidRPr="00CD0B38" w:rsidRDefault="00A06075" w:rsidP="00BC222D">
            <w:pPr>
              <w:widowControl/>
              <w:autoSpaceDE/>
              <w:autoSpaceDN/>
              <w:adjustRightInd/>
              <w:rPr>
                <w:rFonts w:eastAsiaTheme="minorHAnsi" w:cstheme="minorBidi"/>
                <w:szCs w:val="22"/>
              </w:rPr>
            </w:pPr>
            <w:r>
              <w:rPr>
                <w:rFonts w:eastAsiaTheme="minorHAnsi" w:cstheme="minorBidi"/>
                <w:szCs w:val="22"/>
              </w:rPr>
              <w:t>Golden Pass LNG Terminal LLC</w:t>
            </w:r>
          </w:p>
        </w:tc>
        <w:tc>
          <w:tcPr>
            <w:tcW w:w="1560" w:type="dxa"/>
            <w:shd w:val="clear" w:color="auto" w:fill="auto"/>
          </w:tcPr>
          <w:p w14:paraId="05BC983B" w14:textId="378870BF" w:rsidR="00A06075" w:rsidRPr="00CD0B38" w:rsidRDefault="00C339E0" w:rsidP="00BC222D">
            <w:pPr>
              <w:widowControl/>
              <w:autoSpaceDE/>
              <w:autoSpaceDN/>
              <w:adjustRightInd/>
              <w:rPr>
                <w:rFonts w:eastAsiaTheme="minorHAnsi" w:cstheme="minorBidi"/>
                <w:szCs w:val="22"/>
              </w:rPr>
            </w:pPr>
            <w:r>
              <w:rPr>
                <w:rFonts w:eastAsiaTheme="minorHAnsi" w:cstheme="minorBidi"/>
                <w:szCs w:val="22"/>
              </w:rPr>
              <w:t xml:space="preserve">     </w:t>
            </w:r>
            <w:r w:rsidR="00A06075">
              <w:rPr>
                <w:rFonts w:eastAsiaTheme="minorHAnsi" w:cstheme="minorBidi"/>
                <w:szCs w:val="22"/>
              </w:rPr>
              <w:t>Docket No.</w:t>
            </w:r>
          </w:p>
        </w:tc>
        <w:tc>
          <w:tcPr>
            <w:tcW w:w="1928" w:type="dxa"/>
            <w:shd w:val="clear" w:color="auto" w:fill="auto"/>
            <w:tcMar>
              <w:left w:w="144" w:type="dxa"/>
            </w:tcMar>
          </w:tcPr>
          <w:p w14:paraId="2F28B606" w14:textId="77777777" w:rsidR="00A06075" w:rsidRPr="00CD0B38" w:rsidRDefault="00A06075" w:rsidP="00BC222D">
            <w:pPr>
              <w:widowControl/>
              <w:autoSpaceDE/>
              <w:autoSpaceDN/>
              <w:adjustRightInd/>
              <w:rPr>
                <w:rFonts w:eastAsiaTheme="minorHAnsi" w:cstheme="minorBidi"/>
                <w:szCs w:val="22"/>
              </w:rPr>
            </w:pPr>
            <w:r>
              <w:rPr>
                <w:rFonts w:eastAsiaTheme="minorHAnsi" w:cstheme="minorBidi"/>
                <w:szCs w:val="22"/>
              </w:rPr>
              <w:t>CP20-459-000</w:t>
            </w:r>
          </w:p>
        </w:tc>
      </w:tr>
    </w:tbl>
    <w:p w14:paraId="5643759F" w14:textId="77777777" w:rsidR="00A06075" w:rsidRPr="00CD0B38" w:rsidRDefault="00A06075" w:rsidP="00BC222D">
      <w:pPr>
        <w:jc w:val="center"/>
      </w:pPr>
    </w:p>
    <w:p w14:paraId="75042F46" w14:textId="77777777" w:rsidR="00A06075" w:rsidRPr="00CD0B38" w:rsidRDefault="00A06075" w:rsidP="00BC222D">
      <w:pPr>
        <w:jc w:val="center"/>
      </w:pPr>
    </w:p>
    <w:p w14:paraId="3C967A74" w14:textId="77777777" w:rsidR="00A06075" w:rsidRPr="00CD0B38" w:rsidRDefault="00A06075" w:rsidP="00BC222D">
      <w:pPr>
        <w:jc w:val="center"/>
      </w:pPr>
      <w:r>
        <w:t>ORDER AMENDING SECTION 3 AUTHORIZATION</w:t>
      </w:r>
    </w:p>
    <w:p w14:paraId="73E48EE0" w14:textId="77777777" w:rsidR="00A06075" w:rsidRPr="00CD0B38" w:rsidRDefault="00A06075" w:rsidP="00BC222D">
      <w:pPr>
        <w:jc w:val="center"/>
      </w:pPr>
    </w:p>
    <w:p w14:paraId="224A264E" w14:textId="39A764DD" w:rsidR="00A06075" w:rsidRDefault="00A06075" w:rsidP="00C339E0">
      <w:pPr>
        <w:widowControl/>
        <w:jc w:val="center"/>
      </w:pPr>
      <w:r w:rsidRPr="00C339E0">
        <w:t>(</w:t>
      </w:r>
      <w:r w:rsidR="00C339E0" w:rsidRPr="00C339E0">
        <w:t>Issued January 19, 2021)</w:t>
      </w:r>
    </w:p>
    <w:p w14:paraId="11AC4CCA" w14:textId="77777777" w:rsidR="00A06075" w:rsidRPr="00C26B1C" w:rsidRDefault="00A06075" w:rsidP="00BC222D">
      <w:pPr>
        <w:rPr>
          <w:bCs/>
        </w:rPr>
      </w:pPr>
    </w:p>
    <w:p w14:paraId="1A0A9BAE" w14:textId="3EE2E9E2" w:rsidR="00A06075" w:rsidRDefault="00157947" w:rsidP="00FD3D3B">
      <w:pPr>
        <w:pStyle w:val="FERCparanumber"/>
      </w:pPr>
      <w:r>
        <w:t>On</w:t>
      </w:r>
      <w:r w:rsidR="002879AD">
        <w:t xml:space="preserve"> May 21, 2020, Golden Pass LNG Terminal LLC (Golden Pass LNG) filed an application under section 3 of the Natural Gas Act (NGA)</w:t>
      </w:r>
      <w:r w:rsidR="002879AD">
        <w:rPr>
          <w:rStyle w:val="FootnoteReference"/>
        </w:rPr>
        <w:footnoteReference w:id="2"/>
      </w:r>
      <w:r w:rsidR="002879AD">
        <w:t xml:space="preserve"> and in accordance with Part 153 of the Commission’s regulations</w:t>
      </w:r>
      <w:r w:rsidR="002879AD">
        <w:rPr>
          <w:rStyle w:val="FootnoteReference"/>
        </w:rPr>
        <w:footnoteReference w:id="3"/>
      </w:r>
      <w:r w:rsidR="002879AD">
        <w:t xml:space="preserve"> to amend its authorization to increase the total liquefied natural gas</w:t>
      </w:r>
      <w:r w:rsidR="008C7A5E">
        <w:t xml:space="preserve"> (LNG)</w:t>
      </w:r>
      <w:r w:rsidR="002879AD">
        <w:t xml:space="preserve"> production capacity of its </w:t>
      </w:r>
      <w:r w:rsidR="00607413">
        <w:t>three</w:t>
      </w:r>
      <w:r w:rsidR="002879AD">
        <w:t xml:space="preserve"> liquefaction trains to </w:t>
      </w:r>
      <w:r w:rsidR="001816C3">
        <w:t xml:space="preserve">18.1 million </w:t>
      </w:r>
      <w:proofErr w:type="spellStart"/>
      <w:r w:rsidR="001816C3">
        <w:t>tonnes</w:t>
      </w:r>
      <w:proofErr w:type="spellEnd"/>
      <w:r w:rsidR="001816C3">
        <w:t xml:space="preserve"> per annum (</w:t>
      </w:r>
      <w:proofErr w:type="spellStart"/>
      <w:r w:rsidR="001816C3">
        <w:t>mtpa</w:t>
      </w:r>
      <w:proofErr w:type="spellEnd"/>
      <w:r w:rsidR="001816C3">
        <w:t>)</w:t>
      </w:r>
      <w:r w:rsidR="002879AD">
        <w:t>.</w:t>
      </w:r>
      <w:r w:rsidR="001816C3">
        <w:rPr>
          <w:rStyle w:val="FootnoteReference"/>
        </w:rPr>
        <w:footnoteReference w:id="4"/>
      </w:r>
      <w:r w:rsidR="002879AD">
        <w:t xml:space="preserve"> </w:t>
      </w:r>
      <w:r w:rsidR="00F2102C">
        <w:t xml:space="preserve"> </w:t>
      </w:r>
      <w:r w:rsidR="002879AD">
        <w:t>As discussed below, the Commission grant</w:t>
      </w:r>
      <w:r w:rsidR="00F2102C">
        <w:t>s</w:t>
      </w:r>
      <w:r w:rsidR="002879AD">
        <w:t xml:space="preserve"> the requested authorization, subject to conditions.</w:t>
      </w:r>
    </w:p>
    <w:p w14:paraId="240321D4" w14:textId="77777777" w:rsidR="00157947" w:rsidRPr="00157947" w:rsidRDefault="00157947" w:rsidP="00157947">
      <w:pPr>
        <w:pStyle w:val="FERCparanumber"/>
        <w:numPr>
          <w:ilvl w:val="0"/>
          <w:numId w:val="22"/>
        </w:numPr>
        <w:ind w:left="720"/>
        <w:rPr>
          <w:b/>
          <w:bCs/>
        </w:rPr>
      </w:pPr>
      <w:r>
        <w:rPr>
          <w:b/>
          <w:bCs/>
          <w:u w:val="single"/>
        </w:rPr>
        <w:t>Background and Proposal</w:t>
      </w:r>
    </w:p>
    <w:p w14:paraId="2AFAE79F" w14:textId="223E45F1" w:rsidR="00B669F5" w:rsidRDefault="00157947" w:rsidP="000D6DFF">
      <w:pPr>
        <w:pStyle w:val="FERCparanumber"/>
      </w:pPr>
      <w:r>
        <w:t>In 2005</w:t>
      </w:r>
      <w:r w:rsidR="00CB08EE">
        <w:t xml:space="preserve">, the Commission authorized </w:t>
      </w:r>
      <w:r w:rsidR="000D6DFF">
        <w:t xml:space="preserve">Golden Pass LNG </w:t>
      </w:r>
      <w:r w:rsidR="00CB08EE">
        <w:t>to site, construct</w:t>
      </w:r>
      <w:r w:rsidR="00311C3C">
        <w:t>,</w:t>
      </w:r>
      <w:r w:rsidR="00CB08EE">
        <w:t xml:space="preserve"> and operate </w:t>
      </w:r>
      <w:r w:rsidR="000D6DFF">
        <w:t>a</w:t>
      </w:r>
      <w:r w:rsidR="00711008">
        <w:t>n</w:t>
      </w:r>
      <w:r w:rsidR="000D6DFF">
        <w:t xml:space="preserve"> </w:t>
      </w:r>
      <w:r w:rsidR="008C7A5E">
        <w:t>LNG</w:t>
      </w:r>
      <w:r w:rsidR="000D6DFF">
        <w:t xml:space="preserve"> receiving terminal and associated facilities </w:t>
      </w:r>
      <w:r w:rsidR="00172E18">
        <w:t xml:space="preserve">(Golden Pass Terminal) </w:t>
      </w:r>
      <w:r w:rsidR="000D6DFF">
        <w:t>near the town of Sabine Pass, Texas.</w:t>
      </w:r>
      <w:r w:rsidR="00CB08EE">
        <w:rPr>
          <w:rStyle w:val="FootnoteReference"/>
        </w:rPr>
        <w:footnoteReference w:id="5"/>
      </w:r>
      <w:r w:rsidR="00CB08EE">
        <w:t xml:space="preserve"> </w:t>
      </w:r>
      <w:r w:rsidR="00F92487">
        <w:t xml:space="preserve"> </w:t>
      </w:r>
      <w:r w:rsidR="00B669F5">
        <w:t xml:space="preserve">The LNG facilities are located on the banks of the Sabine-Neches Waterway (or Port Arthur Ship Channel) in Jefferson County, Texas. </w:t>
      </w:r>
      <w:r w:rsidR="00FE69B7">
        <w:t xml:space="preserve"> </w:t>
      </w:r>
    </w:p>
    <w:p w14:paraId="296C42F3" w14:textId="707395F2" w:rsidR="00CB08EE" w:rsidRDefault="00FE4E10" w:rsidP="002543D4">
      <w:pPr>
        <w:pStyle w:val="FERCparanumber"/>
      </w:pPr>
      <w:r>
        <w:lastRenderedPageBreak/>
        <w:t xml:space="preserve">In 2016, the Commission authorized Golden Pass </w:t>
      </w:r>
      <w:r w:rsidR="00DF1041">
        <w:t>Products, LLC</w:t>
      </w:r>
      <w:r>
        <w:t xml:space="preserve"> to site, construct</w:t>
      </w:r>
      <w:r w:rsidR="00311C3C">
        <w:t>,</w:t>
      </w:r>
      <w:r>
        <w:t xml:space="preserve"> and operate facilities for the export of </w:t>
      </w:r>
      <w:r w:rsidR="008C7A5E">
        <w:t>LNG</w:t>
      </w:r>
      <w:r w:rsidR="00134517">
        <w:t xml:space="preserve"> under section 3 of the NGA</w:t>
      </w:r>
      <w:r>
        <w:t>.</w:t>
      </w:r>
      <w:r>
        <w:rPr>
          <w:rStyle w:val="FootnoteReference"/>
        </w:rPr>
        <w:footnoteReference w:id="6"/>
      </w:r>
      <w:r w:rsidR="00DF1041">
        <w:t xml:space="preserve"> </w:t>
      </w:r>
      <w:r w:rsidR="00FE69B7">
        <w:t xml:space="preserve"> </w:t>
      </w:r>
      <w:r w:rsidR="002543D4">
        <w:t>Specifically, the 2016 Authorization Order authorized the construction and operation of three liquefaction trains</w:t>
      </w:r>
      <w:r w:rsidR="000D5BE8">
        <w:rPr>
          <w:rStyle w:val="FootnoteReference"/>
        </w:rPr>
        <w:footnoteReference w:id="7"/>
      </w:r>
      <w:r w:rsidR="002543D4">
        <w:t xml:space="preserve"> with a total LNG production capacity of </w:t>
      </w:r>
      <w:r w:rsidR="007F09C1">
        <w:t xml:space="preserve">15.6 </w:t>
      </w:r>
      <w:proofErr w:type="spellStart"/>
      <w:r w:rsidR="007F09C1">
        <w:t>m</w:t>
      </w:r>
      <w:r w:rsidR="00F957BF">
        <w:t>tp</w:t>
      </w:r>
      <w:r w:rsidR="007F09C1">
        <w:t>a</w:t>
      </w:r>
      <w:proofErr w:type="spellEnd"/>
      <w:r w:rsidR="002543D4">
        <w:t>, plus feed gas treatment facilities consisting of a mercury removal system, amine system, and heavy hydrocarbon removal system.</w:t>
      </w:r>
      <w:r w:rsidR="009E1DDC">
        <w:t xml:space="preserve"> </w:t>
      </w:r>
      <w:r w:rsidR="002543D4">
        <w:t xml:space="preserve"> </w:t>
      </w:r>
      <w:r w:rsidR="00CB08EE">
        <w:t xml:space="preserve">These facilities, known as the Golden Pass Export </w:t>
      </w:r>
      <w:r w:rsidR="00047A36">
        <w:t xml:space="preserve">Terminal </w:t>
      </w:r>
      <w:r w:rsidR="00CB08EE" w:rsidRPr="00047A36">
        <w:t xml:space="preserve">Project, </w:t>
      </w:r>
      <w:r w:rsidR="009315F9">
        <w:t>will</w:t>
      </w:r>
      <w:r w:rsidR="00CB08EE" w:rsidRPr="00047A36">
        <w:t xml:space="preserve"> be constructed adjacent to and integrated with the existing </w:t>
      </w:r>
      <w:r w:rsidR="00134517">
        <w:t xml:space="preserve">Golden Pass </w:t>
      </w:r>
      <w:r w:rsidR="00172E18">
        <w:t>T</w:t>
      </w:r>
      <w:r w:rsidR="00CB08EE" w:rsidRPr="00047A36">
        <w:t>erminal</w:t>
      </w:r>
      <w:r w:rsidR="00047A36">
        <w:t xml:space="preserve"> </w:t>
      </w:r>
      <w:r w:rsidR="002543D4">
        <w:t>in Sabine Pass, Texas</w:t>
      </w:r>
      <w:r w:rsidR="00CB08EE" w:rsidRPr="00047A36">
        <w:t>.</w:t>
      </w:r>
      <w:r w:rsidR="008A4EBC">
        <w:t xml:space="preserve"> </w:t>
      </w:r>
    </w:p>
    <w:p w14:paraId="276593CD" w14:textId="0830BB52" w:rsidR="00FE4E10" w:rsidRDefault="008A4EBC" w:rsidP="00134517">
      <w:pPr>
        <w:pStyle w:val="FERCparanumber"/>
      </w:pPr>
      <w:r>
        <w:t xml:space="preserve">In 2018, </w:t>
      </w:r>
      <w:r w:rsidR="00134517">
        <w:t>the Commission authorized the transfer of Golden Pass Products, LLC’s section 3 authorization to Golden Pass LNG in anticipation of the two companies merging</w:t>
      </w:r>
      <w:r w:rsidR="00DF1041">
        <w:t>.</w:t>
      </w:r>
      <w:r w:rsidR="00DF1041">
        <w:rPr>
          <w:rStyle w:val="FootnoteReference"/>
        </w:rPr>
        <w:footnoteReference w:id="8"/>
      </w:r>
    </w:p>
    <w:p w14:paraId="4D034F33" w14:textId="23F0EB19" w:rsidR="008A4EBC" w:rsidRDefault="008A4EBC" w:rsidP="00FD3D3B">
      <w:pPr>
        <w:pStyle w:val="FERCparanumber"/>
      </w:pPr>
      <w:r>
        <w:t xml:space="preserve">Golden Pass LNG </w:t>
      </w:r>
      <w:r w:rsidR="0011514F">
        <w:t xml:space="preserve">has </w:t>
      </w:r>
      <w:r>
        <w:t xml:space="preserve">commenced construction of the Golden Pass Export </w:t>
      </w:r>
      <w:r w:rsidR="00047A36">
        <w:t xml:space="preserve">Terminal </w:t>
      </w:r>
      <w:r>
        <w:t xml:space="preserve">Project facilities and </w:t>
      </w:r>
      <w:r w:rsidR="00172E18">
        <w:t>anticipate</w:t>
      </w:r>
      <w:r w:rsidR="00711008">
        <w:t>s</w:t>
      </w:r>
      <w:r w:rsidR="00172E18">
        <w:t xml:space="preserve"> commencing service </w:t>
      </w:r>
      <w:r>
        <w:t>in 2024.</w:t>
      </w:r>
    </w:p>
    <w:p w14:paraId="0F218CC1" w14:textId="7AE79C2D" w:rsidR="00DF1041" w:rsidRDefault="00DF1041" w:rsidP="009D2B58">
      <w:pPr>
        <w:pStyle w:val="FERCparanumber"/>
      </w:pPr>
      <w:r>
        <w:t xml:space="preserve">Golden Pass LNG requests </w:t>
      </w:r>
      <w:r w:rsidR="00311C3C">
        <w:t xml:space="preserve">approval </w:t>
      </w:r>
      <w:r>
        <w:t xml:space="preserve">to increase the authorized LNG production capacity of the </w:t>
      </w:r>
      <w:r w:rsidR="009F4330">
        <w:t xml:space="preserve">Golden Pass Export </w:t>
      </w:r>
      <w:r>
        <w:t xml:space="preserve">Terminal from </w:t>
      </w:r>
      <w:r w:rsidR="001816C3">
        <w:t xml:space="preserve">15.6 </w:t>
      </w:r>
      <w:proofErr w:type="spellStart"/>
      <w:r w:rsidR="001816C3">
        <w:t>m</w:t>
      </w:r>
      <w:r w:rsidR="00F957BF">
        <w:t>tp</w:t>
      </w:r>
      <w:r w:rsidR="001816C3">
        <w:t>a</w:t>
      </w:r>
      <w:proofErr w:type="spellEnd"/>
      <w:r w:rsidR="001816C3">
        <w:t xml:space="preserve"> </w:t>
      </w:r>
      <w:r>
        <w:t xml:space="preserve">to </w:t>
      </w:r>
      <w:r w:rsidR="001816C3">
        <w:t xml:space="preserve">18.1 </w:t>
      </w:r>
      <w:proofErr w:type="spellStart"/>
      <w:r w:rsidR="001816C3">
        <w:t>m</w:t>
      </w:r>
      <w:r w:rsidR="00F957BF">
        <w:t>tp</w:t>
      </w:r>
      <w:r w:rsidR="001816C3">
        <w:t>a</w:t>
      </w:r>
      <w:proofErr w:type="spellEnd"/>
      <w:r>
        <w:t xml:space="preserve">. </w:t>
      </w:r>
      <w:r w:rsidR="00172E18">
        <w:t xml:space="preserve"> </w:t>
      </w:r>
      <w:r w:rsidR="00311C3C">
        <w:t>It</w:t>
      </w:r>
      <w:r>
        <w:t xml:space="preserve"> states that the requested increase in production capacity is based on, among other things, capturing the design margins, richer feed-gas composition, and maintenance processes that promote production efficiencies (e.g., reduced downtime).</w:t>
      </w:r>
      <w:r w:rsidR="00CB08EE">
        <w:t xml:space="preserve"> </w:t>
      </w:r>
      <w:r w:rsidR="00172E18">
        <w:t xml:space="preserve"> </w:t>
      </w:r>
      <w:r w:rsidR="0011514F">
        <w:t>Golden Pass LNG further states that t</w:t>
      </w:r>
      <w:r w:rsidR="00CB08EE">
        <w:t xml:space="preserve">he requested increase will not require the construction of additional facilities or modification of the facilities </w:t>
      </w:r>
      <w:r w:rsidR="00311C3C">
        <w:t>already</w:t>
      </w:r>
      <w:r w:rsidR="00CB08EE">
        <w:t xml:space="preserve"> approved by the Commission</w:t>
      </w:r>
      <w:r w:rsidR="00643F7E">
        <w:t xml:space="preserve"> and </w:t>
      </w:r>
      <w:r w:rsidR="008A4EBC">
        <w:t>will not result in additional environmental impacts beyond those previously identified in the final Environmental Impact Statement for the Golden Pass Export</w:t>
      </w:r>
      <w:r w:rsidR="00E80F36">
        <w:t xml:space="preserve"> Terminal</w:t>
      </w:r>
      <w:r w:rsidR="008A4EBC">
        <w:t xml:space="preserve"> Project.</w:t>
      </w:r>
      <w:r w:rsidR="0035377D">
        <w:t xml:space="preserve"> </w:t>
      </w:r>
      <w:r w:rsidR="00C339E0">
        <w:t xml:space="preserve">     </w:t>
      </w:r>
      <w:r w:rsidR="009E1DDC">
        <w:t xml:space="preserve"> </w:t>
      </w:r>
      <w:r w:rsidR="0035377D">
        <w:t xml:space="preserve">Golden Pass LNG </w:t>
      </w:r>
      <w:r w:rsidR="00FC434F">
        <w:t>maintains</w:t>
      </w:r>
      <w:r w:rsidR="0035377D">
        <w:t xml:space="preserve"> that the requested increase will not impact </w:t>
      </w:r>
      <w:r w:rsidR="00142737">
        <w:t xml:space="preserve">the existing </w:t>
      </w:r>
      <w:r w:rsidR="00C339E0">
        <w:t xml:space="preserve">    </w:t>
      </w:r>
      <w:r w:rsidR="00142737">
        <w:t>Air Permit</w:t>
      </w:r>
      <w:r w:rsidR="0035377D">
        <w:t xml:space="preserve"> or the Hazard Analysis Report.</w:t>
      </w:r>
      <w:r w:rsidR="00607413">
        <w:t xml:space="preserve"> </w:t>
      </w:r>
      <w:r w:rsidR="009E1DDC">
        <w:t xml:space="preserve"> </w:t>
      </w:r>
      <w:r w:rsidR="00FC434F">
        <w:t xml:space="preserve">Lastly, </w:t>
      </w:r>
      <w:r w:rsidR="00311C3C">
        <w:t xml:space="preserve">Golden Pass LNG asserts that </w:t>
      </w:r>
      <w:r w:rsidR="00607413">
        <w:t>the potential increased volume of LNG vessel traffic can be managed within the approved Waterway Suitability Assessment (WSA) and any changes to the WSA would be driven by ship class optimization, not the requested capacity increase.</w:t>
      </w:r>
      <w:r w:rsidR="008E39D4">
        <w:t xml:space="preserve">  </w:t>
      </w:r>
    </w:p>
    <w:p w14:paraId="225F538D" w14:textId="77777777" w:rsidR="00E84712" w:rsidRDefault="00E84712" w:rsidP="00E84712">
      <w:pPr>
        <w:pStyle w:val="FERCparanumber"/>
        <w:numPr>
          <w:ilvl w:val="0"/>
          <w:numId w:val="0"/>
        </w:numPr>
      </w:pPr>
      <w:bookmarkStart w:id="0" w:name="_GoBack"/>
      <w:bookmarkEnd w:id="0"/>
    </w:p>
    <w:p w14:paraId="4A228659" w14:textId="77777777" w:rsidR="00157947" w:rsidRPr="00157947" w:rsidRDefault="00157947" w:rsidP="00157947">
      <w:pPr>
        <w:pStyle w:val="FERCparanumber"/>
        <w:numPr>
          <w:ilvl w:val="0"/>
          <w:numId w:val="22"/>
        </w:numPr>
        <w:ind w:left="720"/>
        <w:rPr>
          <w:b/>
          <w:bCs/>
        </w:rPr>
      </w:pPr>
      <w:r>
        <w:rPr>
          <w:b/>
          <w:bCs/>
          <w:u w:val="single"/>
        </w:rPr>
        <w:lastRenderedPageBreak/>
        <w:t>Notice, Interventions, Comments and Protests</w:t>
      </w:r>
    </w:p>
    <w:p w14:paraId="2988E8E3" w14:textId="3C6AB093" w:rsidR="00157947" w:rsidRDefault="00157947" w:rsidP="00FD3D3B">
      <w:pPr>
        <w:pStyle w:val="FERCparanumber"/>
      </w:pPr>
      <w:r>
        <w:t>Notice</w:t>
      </w:r>
      <w:r w:rsidR="004030AC">
        <w:t xml:space="preserve"> of t</w:t>
      </w:r>
      <w:r w:rsidR="004030AC" w:rsidRPr="00134517">
        <w:t xml:space="preserve">he Golden Pass LNG application was published in the </w:t>
      </w:r>
      <w:r w:rsidR="004030AC" w:rsidRPr="00134517">
        <w:rPr>
          <w:i/>
          <w:iCs/>
        </w:rPr>
        <w:t>Federal Register</w:t>
      </w:r>
      <w:r w:rsidR="004030AC" w:rsidRPr="00134517">
        <w:t xml:space="preserve"> on </w:t>
      </w:r>
      <w:r w:rsidR="00134517" w:rsidRPr="00134517">
        <w:t>June 3</w:t>
      </w:r>
      <w:r w:rsidR="004030AC" w:rsidRPr="00134517">
        <w:t>, 2020.</w:t>
      </w:r>
      <w:r w:rsidR="004030AC" w:rsidRPr="00134517">
        <w:rPr>
          <w:rStyle w:val="FootnoteReference"/>
        </w:rPr>
        <w:footnoteReference w:id="9"/>
      </w:r>
      <w:r w:rsidR="009967CD">
        <w:t xml:space="preserve"> </w:t>
      </w:r>
      <w:r w:rsidR="00172E18">
        <w:t xml:space="preserve"> </w:t>
      </w:r>
      <w:r w:rsidR="009967CD">
        <w:t>No interventions, adverse comments, or protests were received.</w:t>
      </w:r>
      <w:r w:rsidR="00172E18">
        <w:rPr>
          <w:rStyle w:val="FootnoteReference"/>
        </w:rPr>
        <w:footnoteReference w:id="10"/>
      </w:r>
    </w:p>
    <w:p w14:paraId="045B1D2B" w14:textId="77777777" w:rsidR="002879AD" w:rsidRPr="002879AD" w:rsidRDefault="002879AD" w:rsidP="002879AD">
      <w:pPr>
        <w:pStyle w:val="FERCparanumber"/>
        <w:numPr>
          <w:ilvl w:val="0"/>
          <w:numId w:val="22"/>
        </w:numPr>
        <w:ind w:left="720"/>
        <w:rPr>
          <w:b/>
          <w:bCs/>
          <w:u w:val="single"/>
        </w:rPr>
      </w:pPr>
      <w:r w:rsidRPr="002879AD">
        <w:rPr>
          <w:b/>
          <w:bCs/>
          <w:u w:val="single"/>
        </w:rPr>
        <w:t>Discussion</w:t>
      </w:r>
    </w:p>
    <w:p w14:paraId="367A9FC9" w14:textId="37237C0F" w:rsidR="00157947" w:rsidRDefault="009967CD" w:rsidP="00FD3D3B">
      <w:pPr>
        <w:pStyle w:val="FERCparanumber"/>
      </w:pPr>
      <w:r>
        <w:t>Because the applicant proposes to operate the facility to liquefy for export natural gas at levels above those previously authorized, the proposal requires Commission approval under section 3 of the NGA</w:t>
      </w:r>
      <w:r w:rsidR="00FC434F">
        <w:t>.</w:t>
      </w:r>
      <w:r>
        <w:rPr>
          <w:rStyle w:val="FootnoteReference"/>
        </w:rPr>
        <w:footnoteReference w:id="11"/>
      </w:r>
      <w:r w:rsidR="00344130">
        <w:t xml:space="preserve"> </w:t>
      </w:r>
      <w:r w:rsidR="009E1DDC">
        <w:t xml:space="preserve"> </w:t>
      </w:r>
      <w:r w:rsidR="00FC434F">
        <w:t>Section 3</w:t>
      </w:r>
      <w:r w:rsidR="00344130">
        <w:t xml:space="preserve"> provides that an application shall be approved if the proposal “will not be inconsistent with the public interest,” subject to “such terms and conditions as the Commission may find necessary or appropriate.”</w:t>
      </w:r>
      <w:r w:rsidR="00344130">
        <w:rPr>
          <w:rStyle w:val="FootnoteReference"/>
        </w:rPr>
        <w:footnoteReference w:id="12"/>
      </w:r>
    </w:p>
    <w:p w14:paraId="1950BF75" w14:textId="7AC41E0F" w:rsidR="00344130" w:rsidRDefault="00344130" w:rsidP="00FD3D3B">
      <w:pPr>
        <w:pStyle w:val="FERCparanumber"/>
      </w:pPr>
      <w:r>
        <w:t xml:space="preserve">The Commission recognizes that an accurate calculation of a facility’s </w:t>
      </w:r>
      <w:r w:rsidR="008B081B">
        <w:t>production</w:t>
      </w:r>
      <w:r>
        <w:t xml:space="preserve"> capacity may not be possible at the time an initial application for construction is filed, but believes it is appropriate for the </w:t>
      </w:r>
      <w:r w:rsidR="00EE30AD">
        <w:t xml:space="preserve">ultimate authorization to reflect the maximum capacity at </w:t>
      </w:r>
      <w:r w:rsidR="00EE30AD">
        <w:lastRenderedPageBreak/>
        <w:t>optimal conditions, as such a level represents the actual potential production of LNG.</w:t>
      </w:r>
      <w:r w:rsidR="00EE30AD">
        <w:rPr>
          <w:rStyle w:val="FootnoteReference"/>
        </w:rPr>
        <w:footnoteReference w:id="13"/>
      </w:r>
      <w:r w:rsidR="00EE30AD">
        <w:t xml:space="preserve"> Further, Golden Pass LNG’s proposal</w:t>
      </w:r>
      <w:r w:rsidR="003C7EC4">
        <w:t xml:space="preserve"> will not substantially alter the scope of the terminal’s operation; will not involve additional construction of new facilities or modification of facilities previously approved; </w:t>
      </w:r>
      <w:r w:rsidR="00FC434F">
        <w:t xml:space="preserve">and </w:t>
      </w:r>
      <w:r w:rsidR="003C7EC4">
        <w:t xml:space="preserve">will not impact </w:t>
      </w:r>
      <w:r w:rsidR="00142737">
        <w:t>the existing Air Permit</w:t>
      </w:r>
      <w:r w:rsidR="003C7EC4">
        <w:t xml:space="preserve"> or the Hazard Analysis Report.</w:t>
      </w:r>
      <w:r w:rsidR="00AA0AD2">
        <w:rPr>
          <w:rStyle w:val="FootnoteReference"/>
        </w:rPr>
        <w:footnoteReference w:id="14"/>
      </w:r>
      <w:r w:rsidR="00EE30AD">
        <w:t xml:space="preserve"> </w:t>
      </w:r>
      <w:r w:rsidR="009E1DDC">
        <w:t xml:space="preserve"> </w:t>
      </w:r>
      <w:r w:rsidR="00EE30AD">
        <w:t xml:space="preserve">And, as discussed below, the </w:t>
      </w:r>
      <w:r w:rsidR="00124D13" w:rsidRPr="00173272">
        <w:t xml:space="preserve">Environmental Assessment (EA) </w:t>
      </w:r>
      <w:r w:rsidR="00EE30AD">
        <w:t xml:space="preserve">supports a finding that the proposal will not result in any significant adverse environmental impacts. </w:t>
      </w:r>
      <w:r w:rsidR="009E1DDC">
        <w:t xml:space="preserve"> </w:t>
      </w:r>
      <w:r w:rsidR="00EE30AD">
        <w:t>For these reasons, we find that Golden Pass LNG’s proposal is not inconsistent with the public interest, subject to the conditions imposed in this order.</w:t>
      </w:r>
    </w:p>
    <w:p w14:paraId="49CDB263" w14:textId="77777777" w:rsidR="002879AD" w:rsidRPr="002879AD" w:rsidRDefault="002879AD" w:rsidP="002879AD">
      <w:pPr>
        <w:pStyle w:val="FERCparanumber"/>
        <w:numPr>
          <w:ilvl w:val="0"/>
          <w:numId w:val="22"/>
        </w:numPr>
        <w:ind w:left="720"/>
        <w:rPr>
          <w:b/>
          <w:bCs/>
          <w:u w:val="single"/>
        </w:rPr>
      </w:pPr>
      <w:r w:rsidRPr="002879AD">
        <w:rPr>
          <w:b/>
          <w:bCs/>
          <w:u w:val="single"/>
        </w:rPr>
        <w:t>Environmental Assessment</w:t>
      </w:r>
    </w:p>
    <w:p w14:paraId="092DF006" w14:textId="41CF7923" w:rsidR="003D52FD" w:rsidRDefault="002443FF" w:rsidP="002443FF">
      <w:pPr>
        <w:pStyle w:val="FERCparanumber"/>
      </w:pPr>
      <w:r w:rsidRPr="00173272">
        <w:t xml:space="preserve">To satisfy the requirements of the National Environmental Policy Act of 1969, our staff prepared an </w:t>
      </w:r>
      <w:bookmarkStart w:id="1" w:name="_Hlk58480320"/>
      <w:r w:rsidRPr="00173272">
        <w:t xml:space="preserve">EA </w:t>
      </w:r>
      <w:bookmarkEnd w:id="1"/>
      <w:r w:rsidRPr="00173272">
        <w:t xml:space="preserve">for </w:t>
      </w:r>
      <w:r>
        <w:t>Golden Pass</w:t>
      </w:r>
      <w:r w:rsidR="00942A9F">
        <w:t xml:space="preserve"> LNG</w:t>
      </w:r>
      <w:r w:rsidRPr="00173272">
        <w:t xml:space="preserve">’s </w:t>
      </w:r>
      <w:r w:rsidR="003413B2">
        <w:t>proposal and</w:t>
      </w:r>
      <w:r w:rsidR="00643F7E" w:rsidRPr="00173272">
        <w:t xml:space="preserve"> placed</w:t>
      </w:r>
      <w:r w:rsidR="00311C3C">
        <w:t xml:space="preserve"> the EA</w:t>
      </w:r>
      <w:r w:rsidR="00643F7E" w:rsidRPr="00173272">
        <w:t xml:space="preserve"> in the public record on </w:t>
      </w:r>
      <w:r w:rsidR="00643F7E">
        <w:t>November 6</w:t>
      </w:r>
      <w:r w:rsidR="00643F7E" w:rsidRPr="00173272">
        <w:t>, 2020</w:t>
      </w:r>
      <w:r w:rsidRPr="00173272">
        <w:t xml:space="preserve">.  </w:t>
      </w:r>
      <w:r w:rsidR="003D52FD" w:rsidRPr="003D52FD">
        <w:t xml:space="preserve">The EA was prepared with the cooperation of the U.S. Department of Energy, U.S. Department of Transportation, and U.S. Coast Guard.  The analysis in the EA addresses water resources, fisheries, marine wildlife, threatened and endangered species, air quality, reliability and safety, and alternatives.  </w:t>
      </w:r>
    </w:p>
    <w:p w14:paraId="7921957F" w14:textId="46D4B69F" w:rsidR="003D52FD" w:rsidRDefault="004C3320" w:rsidP="003D52FD">
      <w:pPr>
        <w:pStyle w:val="FERCparanumber"/>
      </w:pPr>
      <w:r w:rsidRPr="00936D24">
        <w:t xml:space="preserve">As the EA explained, there is a potential for an increased </w:t>
      </w:r>
      <w:r w:rsidR="00B51D60">
        <w:t>volume of</w:t>
      </w:r>
      <w:r w:rsidRPr="00936D24">
        <w:t xml:space="preserve"> </w:t>
      </w:r>
      <w:r w:rsidR="00B51D60">
        <w:t>LNG vessel traffic</w:t>
      </w:r>
      <w:r w:rsidRPr="00936D24">
        <w:t xml:space="preserve"> than previously </w:t>
      </w:r>
      <w:r w:rsidR="00B51D60" w:rsidRPr="00B51D60">
        <w:t xml:space="preserve">analyzed for the Golden Pass Export </w:t>
      </w:r>
      <w:r w:rsidR="003C23CC">
        <w:t xml:space="preserve">Terminal </w:t>
      </w:r>
      <w:r w:rsidR="00B51D60" w:rsidRPr="00B51D60">
        <w:t>Project</w:t>
      </w:r>
      <w:r w:rsidR="003C23CC">
        <w:t>,</w:t>
      </w:r>
      <w:r w:rsidRPr="00936D24">
        <w:t xml:space="preserve"> which could impact endangered and threatened aquatic species. </w:t>
      </w:r>
      <w:r>
        <w:t xml:space="preserve"> </w:t>
      </w:r>
      <w:r w:rsidR="00B51D60">
        <w:t>We</w:t>
      </w:r>
      <w:r w:rsidRPr="00936D24">
        <w:t xml:space="preserve"> initiated </w:t>
      </w:r>
      <w:r w:rsidR="003C23CC" w:rsidRPr="00936D24">
        <w:t>Endangered Species Act (ESA)</w:t>
      </w:r>
      <w:r w:rsidR="003C23CC">
        <w:t xml:space="preserve"> </w:t>
      </w:r>
      <w:r w:rsidRPr="00936D24">
        <w:t xml:space="preserve">consultation with </w:t>
      </w:r>
      <w:r w:rsidR="003C23CC" w:rsidRPr="00936D24">
        <w:t>National Marine Fisheries Service</w:t>
      </w:r>
      <w:r w:rsidRPr="00936D24">
        <w:t xml:space="preserve"> regarding such impact</w:t>
      </w:r>
      <w:r w:rsidR="00B51D60">
        <w:t xml:space="preserve"> and the EA recommended completion of this consultation, prior to construction.  As the Golden Pass Export </w:t>
      </w:r>
      <w:r w:rsidR="003C23CC">
        <w:t xml:space="preserve">Terminal </w:t>
      </w:r>
      <w:r w:rsidR="00B51D60">
        <w:t>Project is currently under construction, we</w:t>
      </w:r>
      <w:r w:rsidR="00B51D60" w:rsidRPr="00936D24">
        <w:t xml:space="preserve"> are modifying the EA’s environmental recommendation four in this order to require that </w:t>
      </w:r>
      <w:r w:rsidR="003C23CC">
        <w:t xml:space="preserve">ESA </w:t>
      </w:r>
      <w:r w:rsidR="00B51D60" w:rsidRPr="00936D24">
        <w:t xml:space="preserve">consultation be complete prior to </w:t>
      </w:r>
      <w:r w:rsidR="00B51D60">
        <w:t xml:space="preserve">implementing </w:t>
      </w:r>
      <w:r w:rsidR="00963E8A">
        <w:t xml:space="preserve">the production </w:t>
      </w:r>
      <w:r w:rsidR="00B51D60">
        <w:t>capacity increase at</w:t>
      </w:r>
      <w:r w:rsidR="00B51D60" w:rsidRPr="00936D24">
        <w:t xml:space="preserve"> the Golden Pass LNG Export Project.</w:t>
      </w:r>
      <w:r w:rsidRPr="00936D24">
        <w:t xml:space="preserve"> </w:t>
      </w:r>
      <w:r>
        <w:t xml:space="preserve"> </w:t>
      </w:r>
      <w:r w:rsidRPr="00936D24">
        <w:t>We are adopting the environmental recommendations in the EA, as modified herein, and include them as conditions appended to this order.</w:t>
      </w:r>
      <w:r w:rsidR="003D52FD" w:rsidRPr="00C241A1">
        <w:t xml:space="preserve"> </w:t>
      </w:r>
    </w:p>
    <w:p w14:paraId="696ED93C" w14:textId="7F231FBB" w:rsidR="00E31479" w:rsidRPr="004D4B28" w:rsidRDefault="00DD3571" w:rsidP="00E774A3">
      <w:pPr>
        <w:pStyle w:val="FERCparanumber"/>
      </w:pPr>
      <w:r>
        <w:lastRenderedPageBreak/>
        <w:t>W</w:t>
      </w:r>
      <w:r w:rsidR="00A453D1">
        <w:t xml:space="preserve">ith respect to whether the </w:t>
      </w:r>
      <w:r w:rsidR="00E31479">
        <w:t xml:space="preserve">potential increased volume of LNG vessel traffic </w:t>
      </w:r>
      <w:r w:rsidR="00A453D1">
        <w:t xml:space="preserve">requires an amendment to the Coast Guard’s </w:t>
      </w:r>
      <w:r w:rsidR="00E31479">
        <w:t>Waterway Suitability Assessment</w:t>
      </w:r>
      <w:r w:rsidR="00BD5436">
        <w:t xml:space="preserve"> (WSA)</w:t>
      </w:r>
      <w:r w:rsidR="00FC2F40">
        <w:t>,</w:t>
      </w:r>
      <w:r w:rsidR="00C82362">
        <w:rPr>
          <w:rStyle w:val="FootnoteReference"/>
        </w:rPr>
        <w:footnoteReference w:id="15"/>
      </w:r>
      <w:r w:rsidR="00FC2F40">
        <w:t xml:space="preserve">  </w:t>
      </w:r>
      <w:r w:rsidR="00004373">
        <w:t xml:space="preserve">Golden Pass conferred with the Coast Guard Captain of the Port regarding the potential for increases in expected vessel traffic above the level reflected in the </w:t>
      </w:r>
      <w:r w:rsidR="00BD5436">
        <w:t>WSA</w:t>
      </w:r>
      <w:r w:rsidR="00BE4690">
        <w:t xml:space="preserve"> that formed the basis of the Letter of Recommendation to FERC</w:t>
      </w:r>
      <w:r w:rsidR="00B74A05">
        <w:t xml:space="preserve">.  </w:t>
      </w:r>
      <w:r w:rsidR="008A6D84">
        <w:t xml:space="preserve">As noted in the EA, because Golden Pass has not yet finalized </w:t>
      </w:r>
      <w:r w:rsidR="00B12939" w:rsidRPr="00B12939">
        <w:t xml:space="preserve">the shipping fleet details it is unknown </w:t>
      </w:r>
      <w:r w:rsidR="00464B6E">
        <w:t xml:space="preserve">whether </w:t>
      </w:r>
      <w:r w:rsidR="00B12939" w:rsidRPr="00B12939">
        <w:t>th</w:t>
      </w:r>
      <w:r w:rsidR="00464B6E">
        <w:t xml:space="preserve">is </w:t>
      </w:r>
      <w:r w:rsidR="00B12939" w:rsidRPr="00B12939">
        <w:t>Amendment would result in a</w:t>
      </w:r>
      <w:r w:rsidR="00464B6E">
        <w:t xml:space="preserve">n increase in the </w:t>
      </w:r>
      <w:r w:rsidR="00B12939" w:rsidRPr="00B12939">
        <w:t>number of vessel</w:t>
      </w:r>
      <w:r w:rsidR="00464B6E">
        <w:t xml:space="preserve">s above what is currently </w:t>
      </w:r>
      <w:r w:rsidR="00B12939" w:rsidRPr="00B12939">
        <w:t xml:space="preserve">approved under the </w:t>
      </w:r>
      <w:r w:rsidR="00BD5436">
        <w:t>WSA</w:t>
      </w:r>
      <w:r w:rsidR="00B12939" w:rsidRPr="00B12939">
        <w:t>.</w:t>
      </w:r>
      <w:r w:rsidR="001D4EB9">
        <w:rPr>
          <w:rStyle w:val="FootnoteReference"/>
        </w:rPr>
        <w:footnoteReference w:id="16"/>
      </w:r>
      <w:r w:rsidR="00B12939" w:rsidRPr="00B12939">
        <w:t xml:space="preserve"> </w:t>
      </w:r>
      <w:r w:rsidR="001D4EB9">
        <w:t>Accordingly, t</w:t>
      </w:r>
      <w:r w:rsidR="00B74A05">
        <w:t xml:space="preserve">he Coast Guard </w:t>
      </w:r>
      <w:r w:rsidR="00004373">
        <w:t xml:space="preserve">advised </w:t>
      </w:r>
      <w:r w:rsidR="00B74A05">
        <w:t xml:space="preserve">Golden Pass </w:t>
      </w:r>
      <w:r w:rsidR="00004373">
        <w:t xml:space="preserve">to defer any </w:t>
      </w:r>
      <w:r w:rsidR="00BD5436">
        <w:t xml:space="preserve">WSA </w:t>
      </w:r>
      <w:r w:rsidR="00BE4690">
        <w:t>updates</w:t>
      </w:r>
      <w:r w:rsidR="00004373">
        <w:t xml:space="preserve"> until </w:t>
      </w:r>
      <w:r w:rsidR="00317988">
        <w:t>Golden Pass</w:t>
      </w:r>
      <w:r w:rsidR="00E31479">
        <w:t xml:space="preserve"> </w:t>
      </w:r>
      <w:r w:rsidR="007C43BC">
        <w:t xml:space="preserve">makes </w:t>
      </w:r>
      <w:r w:rsidR="00E31479">
        <w:t>a final determination on ship class utilization</w:t>
      </w:r>
      <w:r w:rsidR="00BE4690">
        <w:t>.</w:t>
      </w:r>
      <w:r w:rsidR="00A453D1">
        <w:rPr>
          <w:rStyle w:val="FootnoteReference"/>
        </w:rPr>
        <w:footnoteReference w:id="17"/>
      </w:r>
      <w:r w:rsidR="001D4EB9">
        <w:t xml:space="preserve"> </w:t>
      </w:r>
      <w:r w:rsidR="001D4EB9" w:rsidRPr="00B12939">
        <w:t xml:space="preserve">Golden Pass </w:t>
      </w:r>
      <w:r w:rsidR="00BE4690">
        <w:t xml:space="preserve">would be required to submit a final report </w:t>
      </w:r>
      <w:r w:rsidR="001D4EB9" w:rsidRPr="00B12939">
        <w:t xml:space="preserve"> </w:t>
      </w:r>
      <w:r w:rsidR="00003A4D">
        <w:t xml:space="preserve">to the Coast Guard </w:t>
      </w:r>
      <w:r w:rsidR="00BE4690">
        <w:t xml:space="preserve"> at least 30 days</w:t>
      </w:r>
      <w:r w:rsidR="001D4EB9" w:rsidRPr="00B12939">
        <w:t xml:space="preserve"> prior to commencement of export terminal operations </w:t>
      </w:r>
      <w:r w:rsidR="00003A4D">
        <w:t xml:space="preserve">if there are any </w:t>
      </w:r>
      <w:r w:rsidR="001D4EB9" w:rsidRPr="00B12939">
        <w:t xml:space="preserve">changes in </w:t>
      </w:r>
      <w:r w:rsidR="00003A4D">
        <w:t xml:space="preserve">the </w:t>
      </w:r>
      <w:r w:rsidR="001D4EB9" w:rsidRPr="00B12939">
        <w:t>size or frequency of vessel traffic.</w:t>
      </w:r>
      <w:r w:rsidR="00003A4D">
        <w:rPr>
          <w:rStyle w:val="FootnoteReference"/>
        </w:rPr>
        <w:footnoteReference w:id="18"/>
      </w:r>
      <w:r w:rsidR="001D4EB9" w:rsidRPr="00B12939">
        <w:t xml:space="preserve"> </w:t>
      </w:r>
      <w:r w:rsidR="007709B6">
        <w:t xml:space="preserve">  </w:t>
      </w:r>
    </w:p>
    <w:p w14:paraId="18711676" w14:textId="47C00A8F" w:rsidR="003D52FD" w:rsidRDefault="003D52FD" w:rsidP="003D52FD">
      <w:pPr>
        <w:pStyle w:val="FERCparanumber"/>
      </w:pPr>
      <w:r w:rsidRPr="00C42BEC">
        <w:t xml:space="preserve">Based on the analysis in the EA, we conclude that if </w:t>
      </w:r>
      <w:r w:rsidRPr="00A00C7E">
        <w:t>Golden Pass</w:t>
      </w:r>
      <w:r w:rsidR="00942A9F">
        <w:t xml:space="preserve"> LNG</w:t>
      </w:r>
      <w:r w:rsidRPr="00A00C7E">
        <w:t xml:space="preserve"> operates </w:t>
      </w:r>
      <w:r>
        <w:t>its</w:t>
      </w:r>
      <w:r w:rsidRPr="00A00C7E">
        <w:t xml:space="preserve"> facilities in accordance with its </w:t>
      </w:r>
      <w:r w:rsidRPr="00C42BEC">
        <w:t>application and supplements,</w:t>
      </w:r>
      <w:r>
        <w:t xml:space="preserve"> including any commitments made </w:t>
      </w:r>
      <w:r w:rsidR="007411F8">
        <w:t>t</w:t>
      </w:r>
      <w:r>
        <w:t>herein,</w:t>
      </w:r>
      <w:r w:rsidRPr="00C42BEC">
        <w:t xml:space="preserve"> </w:t>
      </w:r>
      <w:r w:rsidRPr="00352D37">
        <w:t xml:space="preserve">and in compliance with the environmental conditions in the appendix to this </w:t>
      </w:r>
      <w:r>
        <w:t>o</w:t>
      </w:r>
      <w:r w:rsidRPr="00352D37">
        <w:t xml:space="preserve">rder, </w:t>
      </w:r>
      <w:r w:rsidRPr="00C42BEC">
        <w:t>our approval of this proposal would not constitute a major federal action significantly affecting the quality of the human environment.</w:t>
      </w:r>
      <w:r>
        <w:t xml:space="preserve">  </w:t>
      </w:r>
    </w:p>
    <w:p w14:paraId="457760F1" w14:textId="0C6A8E85" w:rsidR="003D52FD" w:rsidRDefault="003D52FD" w:rsidP="003D52FD">
      <w:pPr>
        <w:pStyle w:val="FERCparanumber"/>
      </w:pPr>
      <w:r w:rsidRPr="00C241A1">
        <w:t>Compliance with the environmental conditions appended to our orders is integral to ensuring that the environmental impacts of approved projects are consistent with those anticipated by our environmental analyses.  Thus, Commission staff carefully reviews all information submitted.  Only when satisfied that the applicant has complied with all applicable conditions will a notice to proceed with the activity to which the conditions are relevant be issued.  We also note that the Commission has the authority to take whatever steps are necessary to ensure the protection of environmental resources during construction and operation of the project, including authority to impose any additional measures deemed necessary to ensure continued compliance with the conditions of the order, as well as the avoidance or mitigation of unforeseen adverse environmental impacts resulting from project construction and operation.</w:t>
      </w:r>
    </w:p>
    <w:p w14:paraId="6EEA36E4" w14:textId="77777777" w:rsidR="00A44698" w:rsidRPr="00173272" w:rsidRDefault="00A44698" w:rsidP="00A44698">
      <w:pPr>
        <w:pStyle w:val="FERCparanumber"/>
        <w:numPr>
          <w:ilvl w:val="0"/>
          <w:numId w:val="0"/>
        </w:numPr>
      </w:pPr>
    </w:p>
    <w:p w14:paraId="2C27D0A2" w14:textId="77777777" w:rsidR="002879AD" w:rsidRPr="002879AD" w:rsidRDefault="002879AD" w:rsidP="002879AD">
      <w:pPr>
        <w:pStyle w:val="FERCparanumber"/>
        <w:numPr>
          <w:ilvl w:val="0"/>
          <w:numId w:val="22"/>
        </w:numPr>
        <w:ind w:left="720"/>
        <w:rPr>
          <w:b/>
          <w:bCs/>
        </w:rPr>
      </w:pPr>
      <w:r>
        <w:rPr>
          <w:b/>
          <w:bCs/>
          <w:u w:val="single"/>
        </w:rPr>
        <w:lastRenderedPageBreak/>
        <w:t>Conclusion</w:t>
      </w:r>
    </w:p>
    <w:p w14:paraId="0E7B9306" w14:textId="69B54AED" w:rsidR="002879AD" w:rsidRDefault="00EE30AD" w:rsidP="00FD3D3B">
      <w:pPr>
        <w:pStyle w:val="FERCparanumber"/>
      </w:pPr>
      <w:r>
        <w:t>For the reasons set forth herein, and subject to the conditions set forth below, we find that Golden Pass LNG’s proposal is not inconsistent with the public interest under section 3 of the NGA.</w:t>
      </w:r>
      <w:r w:rsidR="009E1DDC">
        <w:t xml:space="preserve"> </w:t>
      </w:r>
      <w:r w:rsidR="000442C1">
        <w:t xml:space="preserve"> Thus, we amend Golden Pass LNG’s section 3 authorization for the </w:t>
      </w:r>
      <w:r w:rsidR="003C7EC4">
        <w:t>Golden Pass Export Terminal Project.</w:t>
      </w:r>
    </w:p>
    <w:p w14:paraId="35C3FB30" w14:textId="22848AFF" w:rsidR="001768CA" w:rsidRDefault="001768CA" w:rsidP="00FD3D3B">
      <w:pPr>
        <w:pStyle w:val="FERCparanumber"/>
      </w:pPr>
      <w:r>
        <w:t xml:space="preserve">At a hearing held on </w:t>
      </w:r>
      <w:r w:rsidR="00C339E0" w:rsidRPr="00C339E0">
        <w:t>January 19, 2021</w:t>
      </w:r>
      <w:r>
        <w:t>, the Commission on its own motion received and made a part of the record in this proceeding all evidence, including the application and exhibits thereto, submitted in support the authorizations sought herein, and upon consideration of the record,</w:t>
      </w:r>
    </w:p>
    <w:p w14:paraId="3A882825" w14:textId="77777777" w:rsidR="00A06075" w:rsidRPr="00CD0B38" w:rsidRDefault="00A06075" w:rsidP="00BC222D">
      <w:r w:rsidRPr="00CD0B38">
        <w:rPr>
          <w:u w:val="single"/>
        </w:rPr>
        <w:t>The Commission orders</w:t>
      </w:r>
      <w:r w:rsidRPr="00CD0B38">
        <w:t>:</w:t>
      </w:r>
    </w:p>
    <w:p w14:paraId="1478E6C4" w14:textId="77777777" w:rsidR="00A06075" w:rsidRDefault="00A06075" w:rsidP="00BC222D"/>
    <w:p w14:paraId="640873EA" w14:textId="01853249" w:rsidR="00FE4E10" w:rsidRDefault="001768CA" w:rsidP="00564327">
      <w:pPr>
        <w:pStyle w:val="ListParagraph"/>
        <w:numPr>
          <w:ilvl w:val="0"/>
          <w:numId w:val="23"/>
        </w:numPr>
        <w:ind w:left="0" w:firstLine="720"/>
      </w:pPr>
      <w:r>
        <w:t xml:space="preserve">Golden Pass LNG’s </w:t>
      </w:r>
      <w:r w:rsidR="00715CA2" w:rsidRPr="00715CA2">
        <w:t xml:space="preserve">section 3 authorization for the </w:t>
      </w:r>
      <w:r w:rsidR="00715CA2">
        <w:t xml:space="preserve">Golden Pass Export Terminal Project is amended to reflect a </w:t>
      </w:r>
      <w:r>
        <w:t xml:space="preserve">total </w:t>
      </w:r>
      <w:r w:rsidR="008B081B">
        <w:t>LNG</w:t>
      </w:r>
      <w:r>
        <w:t xml:space="preserve"> production capacity </w:t>
      </w:r>
      <w:r w:rsidR="00715CA2">
        <w:t xml:space="preserve">of </w:t>
      </w:r>
      <w:r w:rsidR="00883B7D">
        <w:t xml:space="preserve">18.1 </w:t>
      </w:r>
      <w:proofErr w:type="spellStart"/>
      <w:r w:rsidR="00883B7D">
        <w:t>mtpa</w:t>
      </w:r>
      <w:proofErr w:type="spellEnd"/>
      <w:r>
        <w:t xml:space="preserve"> per year</w:t>
      </w:r>
      <w:r w:rsidR="008A0497">
        <w:t>.</w:t>
      </w:r>
      <w:r w:rsidR="00FE4E10">
        <w:t xml:space="preserve"> </w:t>
      </w:r>
    </w:p>
    <w:p w14:paraId="72DD77CE" w14:textId="77777777" w:rsidR="00FE4E10" w:rsidRDefault="00FE4E10" w:rsidP="00FE4E10"/>
    <w:p w14:paraId="6E581D79" w14:textId="4BB66A1D" w:rsidR="00FE4E10" w:rsidRDefault="00FE4E10" w:rsidP="00564327">
      <w:pPr>
        <w:pStyle w:val="ListParagraph"/>
        <w:numPr>
          <w:ilvl w:val="0"/>
          <w:numId w:val="23"/>
        </w:numPr>
        <w:ind w:left="0" w:firstLine="720"/>
      </w:pPr>
      <w:r>
        <w:t xml:space="preserve">In all other respects, the authorizations granted in the order authorizing the Golden Pass Export </w:t>
      </w:r>
      <w:r w:rsidR="00E80F36">
        <w:t xml:space="preserve">Terminal </w:t>
      </w:r>
      <w:r>
        <w:t>Project shall remain in full force and effect.</w:t>
      </w:r>
    </w:p>
    <w:p w14:paraId="0952DC85" w14:textId="77777777" w:rsidR="001768CA" w:rsidRPr="00CD0B38" w:rsidRDefault="001768CA" w:rsidP="00BC222D"/>
    <w:p w14:paraId="4AE28D1E" w14:textId="77777777" w:rsidR="00A06075" w:rsidRPr="00CD0B38" w:rsidRDefault="00A06075" w:rsidP="00BC222D">
      <w:r w:rsidRPr="00CD0B38">
        <w:t>By the Commission.</w:t>
      </w:r>
    </w:p>
    <w:p w14:paraId="704C9794" w14:textId="51D5158D" w:rsidR="00A06075" w:rsidRDefault="00A06075" w:rsidP="00BC222D"/>
    <w:p w14:paraId="76A8B5E9" w14:textId="584399CA" w:rsidR="00C339E0" w:rsidRDefault="00C339E0" w:rsidP="00C339E0">
      <w:pPr>
        <w:widowControl/>
      </w:pPr>
      <w:proofErr w:type="gramStart"/>
      <w:r w:rsidRPr="00C339E0">
        <w:t>( S</w:t>
      </w:r>
      <w:proofErr w:type="gramEnd"/>
      <w:r w:rsidRPr="00C339E0">
        <w:t xml:space="preserve"> E A L )</w:t>
      </w:r>
    </w:p>
    <w:p w14:paraId="0474C12B" w14:textId="3DCECFF4" w:rsidR="002953B3" w:rsidRDefault="002953B3" w:rsidP="00FD3D3B"/>
    <w:p w14:paraId="420CAABE" w14:textId="7AFF1276" w:rsidR="00C339E0" w:rsidRDefault="00C339E0" w:rsidP="00FD3D3B"/>
    <w:p w14:paraId="26743819" w14:textId="5398DB0B" w:rsidR="00C339E0" w:rsidRDefault="00C339E0" w:rsidP="00FD3D3B"/>
    <w:p w14:paraId="2A18052C" w14:textId="768B2A18" w:rsidR="00C339E0" w:rsidRDefault="00C339E0" w:rsidP="00FD3D3B"/>
    <w:p w14:paraId="53DAD500" w14:textId="18974BE2" w:rsidR="00C339E0" w:rsidRPr="00C339E0" w:rsidRDefault="00C339E0" w:rsidP="00C339E0">
      <w:pPr>
        <w:widowControl/>
        <w:ind w:firstLine="2606"/>
        <w:jc w:val="center"/>
      </w:pPr>
      <w:r w:rsidRPr="00C339E0">
        <w:t>Nathaniel J. Davis, Sr.,</w:t>
      </w:r>
    </w:p>
    <w:p w14:paraId="2AA3FECF" w14:textId="7F46DD16" w:rsidR="00C339E0" w:rsidRPr="00C339E0" w:rsidRDefault="00C339E0" w:rsidP="00C339E0">
      <w:pPr>
        <w:widowControl/>
        <w:ind w:firstLine="2606"/>
        <w:jc w:val="center"/>
      </w:pPr>
      <w:r w:rsidRPr="00C339E0">
        <w:t>Deputy Secretary.</w:t>
      </w:r>
    </w:p>
    <w:p w14:paraId="0BF38739" w14:textId="77777777" w:rsidR="00C339E0" w:rsidRDefault="00C339E0" w:rsidP="00FD3D3B"/>
    <w:p w14:paraId="771F081C" w14:textId="7C870252" w:rsidR="002953B3" w:rsidRDefault="002953B3" w:rsidP="00FD3D3B"/>
    <w:p w14:paraId="6270F035" w14:textId="21BC1B2A" w:rsidR="002953B3" w:rsidRDefault="002953B3" w:rsidP="00FD3D3B"/>
    <w:p w14:paraId="486AE20A" w14:textId="476E73EC" w:rsidR="002953B3" w:rsidRDefault="002953B3" w:rsidP="00FD3D3B"/>
    <w:p w14:paraId="7361F9DA" w14:textId="10BB073A" w:rsidR="002953B3" w:rsidRDefault="002953B3" w:rsidP="00FD3D3B"/>
    <w:p w14:paraId="7210E641" w14:textId="41D74172" w:rsidR="002953B3" w:rsidRDefault="002953B3" w:rsidP="00FD3D3B"/>
    <w:p w14:paraId="79F6807C" w14:textId="00AC1F98" w:rsidR="00CA1383" w:rsidRDefault="00CA1383" w:rsidP="00FD3D3B"/>
    <w:p w14:paraId="6644B826" w14:textId="755970E7" w:rsidR="00CA1383" w:rsidRDefault="00CA1383" w:rsidP="00FD3D3B"/>
    <w:p w14:paraId="034D5731" w14:textId="49169D49" w:rsidR="00CA1383" w:rsidRDefault="00CA1383" w:rsidP="00FD3D3B"/>
    <w:p w14:paraId="039CD2FE" w14:textId="3256F9BF" w:rsidR="00CA1383" w:rsidRDefault="00CA1383" w:rsidP="00FD3D3B"/>
    <w:p w14:paraId="4DB7D2F4" w14:textId="2024A7D2" w:rsidR="00CA1383" w:rsidRDefault="00CA1383" w:rsidP="00FD3D3B"/>
    <w:p w14:paraId="3946DA36" w14:textId="6E2E28EC" w:rsidR="00CA1383" w:rsidRDefault="00CA1383" w:rsidP="00FD3D3B"/>
    <w:p w14:paraId="7BE4E7BB" w14:textId="77777777" w:rsidR="00CA1383" w:rsidRDefault="00CA1383" w:rsidP="00FD3D3B"/>
    <w:p w14:paraId="7153B380" w14:textId="331A2FEF" w:rsidR="002953B3" w:rsidRDefault="002953B3" w:rsidP="00FD3D3B"/>
    <w:p w14:paraId="0BDE86A8" w14:textId="72E0A309" w:rsidR="008C727C" w:rsidRDefault="008C727C" w:rsidP="00FD3D3B"/>
    <w:p w14:paraId="226DFB7F" w14:textId="77777777" w:rsidR="008C727C" w:rsidRPr="008C727C" w:rsidRDefault="008C727C" w:rsidP="008C727C">
      <w:pPr>
        <w:jc w:val="center"/>
        <w:rPr>
          <w:b/>
          <w:bCs/>
          <w:u w:val="single"/>
        </w:rPr>
      </w:pPr>
      <w:r w:rsidRPr="008C727C">
        <w:rPr>
          <w:b/>
          <w:bCs/>
          <w:u w:val="single"/>
        </w:rPr>
        <w:t>Appendix A</w:t>
      </w:r>
    </w:p>
    <w:p w14:paraId="7055F58D" w14:textId="77777777" w:rsidR="008C727C" w:rsidRPr="008C727C" w:rsidRDefault="008C727C" w:rsidP="008C727C">
      <w:pPr>
        <w:jc w:val="center"/>
        <w:rPr>
          <w:b/>
          <w:bCs/>
          <w:u w:val="single"/>
        </w:rPr>
      </w:pPr>
    </w:p>
    <w:p w14:paraId="2CBA07D4" w14:textId="77777777" w:rsidR="008C727C" w:rsidRPr="008C727C" w:rsidRDefault="008C727C" w:rsidP="008C727C">
      <w:pPr>
        <w:jc w:val="center"/>
        <w:rPr>
          <w:b/>
          <w:bCs/>
        </w:rPr>
      </w:pPr>
      <w:r w:rsidRPr="008C727C">
        <w:rPr>
          <w:b/>
          <w:bCs/>
        </w:rPr>
        <w:t>Environmental Conditions</w:t>
      </w:r>
    </w:p>
    <w:p w14:paraId="77CB0F2D" w14:textId="77777777" w:rsidR="008C727C" w:rsidRPr="008C727C" w:rsidRDefault="008C727C" w:rsidP="008C727C">
      <w:pPr>
        <w:rPr>
          <w:b/>
          <w:bCs/>
        </w:rPr>
      </w:pPr>
    </w:p>
    <w:p w14:paraId="44123645" w14:textId="2D34D7F5" w:rsidR="008C727C" w:rsidRPr="008C727C" w:rsidRDefault="008C727C" w:rsidP="008C727C">
      <w:pPr>
        <w:ind w:firstLine="720"/>
      </w:pPr>
      <w:r w:rsidRPr="008C727C">
        <w:t xml:space="preserve">As recommended in the </w:t>
      </w:r>
      <w:r w:rsidR="00963E8A">
        <w:t>Environmental Assessment (</w:t>
      </w:r>
      <w:r w:rsidRPr="008C727C">
        <w:t>EA</w:t>
      </w:r>
      <w:r w:rsidR="00963E8A">
        <w:t>)</w:t>
      </w:r>
      <w:r w:rsidRPr="008C727C">
        <w:t xml:space="preserve"> and modified herein, this authorization includes the following conditions:</w:t>
      </w:r>
    </w:p>
    <w:p w14:paraId="09B8D7E7" w14:textId="77777777" w:rsidR="008C727C" w:rsidRPr="008C727C" w:rsidRDefault="008C727C" w:rsidP="008C727C"/>
    <w:p w14:paraId="133F5C70" w14:textId="7DA9B61C" w:rsidR="008C727C" w:rsidRPr="008C727C" w:rsidRDefault="008C727C" w:rsidP="008C727C">
      <w:pPr>
        <w:numPr>
          <w:ilvl w:val="0"/>
          <w:numId w:val="24"/>
        </w:numPr>
      </w:pPr>
      <w:r w:rsidRPr="008C727C">
        <w:t xml:space="preserve">Golden Pass </w:t>
      </w:r>
      <w:r w:rsidR="00963E8A">
        <w:t xml:space="preserve">LNG </w:t>
      </w:r>
      <w:r w:rsidRPr="008C727C">
        <w:t xml:space="preserve">shall follow the procedures and mitigation measures described in its application and supplements and as identified in the EA, unless modified by the Order. Golden Pass </w:t>
      </w:r>
      <w:r w:rsidR="00963E8A">
        <w:t xml:space="preserve">LNG </w:t>
      </w:r>
      <w:r w:rsidRPr="008C727C">
        <w:t>must:</w:t>
      </w:r>
    </w:p>
    <w:p w14:paraId="00C9EBEA" w14:textId="77777777" w:rsidR="008C727C" w:rsidRPr="008C727C" w:rsidRDefault="008C727C" w:rsidP="008C727C"/>
    <w:p w14:paraId="5D6C1E76" w14:textId="77777777" w:rsidR="008C727C" w:rsidRPr="008C727C" w:rsidRDefault="008C727C" w:rsidP="008C727C">
      <w:pPr>
        <w:numPr>
          <w:ilvl w:val="1"/>
          <w:numId w:val="24"/>
        </w:numPr>
      </w:pPr>
      <w:r w:rsidRPr="008C727C">
        <w:t>request any modification to these procedures, measures, or conditions in a filing with the Secretary of the Commission (Secretary);</w:t>
      </w:r>
    </w:p>
    <w:p w14:paraId="17D98663" w14:textId="77777777" w:rsidR="008C727C" w:rsidRPr="008C727C" w:rsidRDefault="008C727C" w:rsidP="008C727C"/>
    <w:p w14:paraId="0F054A07" w14:textId="77777777" w:rsidR="008C727C" w:rsidRPr="008C727C" w:rsidRDefault="008C727C" w:rsidP="008C727C">
      <w:pPr>
        <w:numPr>
          <w:ilvl w:val="1"/>
          <w:numId w:val="24"/>
        </w:numPr>
      </w:pPr>
      <w:r w:rsidRPr="008C727C">
        <w:t>justify each modification relative to site-specific conditions;</w:t>
      </w:r>
    </w:p>
    <w:p w14:paraId="58F59BA6" w14:textId="77777777" w:rsidR="008C727C" w:rsidRPr="008C727C" w:rsidRDefault="008C727C" w:rsidP="008C727C"/>
    <w:p w14:paraId="6161167B" w14:textId="77777777" w:rsidR="008C727C" w:rsidRPr="008C727C" w:rsidRDefault="008C727C" w:rsidP="008C727C">
      <w:pPr>
        <w:numPr>
          <w:ilvl w:val="1"/>
          <w:numId w:val="24"/>
        </w:numPr>
      </w:pPr>
      <w:r w:rsidRPr="008C727C">
        <w:t>explain how that modification provides an equal or greater level of environmental protection than the original measure; and</w:t>
      </w:r>
    </w:p>
    <w:p w14:paraId="64A84B17" w14:textId="77777777" w:rsidR="008C727C" w:rsidRPr="008C727C" w:rsidRDefault="008C727C" w:rsidP="008C727C"/>
    <w:p w14:paraId="2755AC77" w14:textId="77777777" w:rsidR="008C727C" w:rsidRPr="008C727C" w:rsidRDefault="008C727C" w:rsidP="008C727C">
      <w:pPr>
        <w:numPr>
          <w:ilvl w:val="1"/>
          <w:numId w:val="24"/>
        </w:numPr>
      </w:pPr>
      <w:r w:rsidRPr="008C727C">
        <w:t>receive approval in writing from the Director of the Office of Energy Projects (OEP), or the Director’s designee, before using that modification.</w:t>
      </w:r>
    </w:p>
    <w:p w14:paraId="1CC6156B" w14:textId="77777777" w:rsidR="008C727C" w:rsidRPr="008C727C" w:rsidRDefault="008C727C" w:rsidP="008C727C"/>
    <w:p w14:paraId="76306895" w14:textId="77777777" w:rsidR="008C727C" w:rsidRPr="008C727C" w:rsidRDefault="008C727C" w:rsidP="008C727C">
      <w:pPr>
        <w:numPr>
          <w:ilvl w:val="0"/>
          <w:numId w:val="24"/>
        </w:numPr>
      </w:pPr>
      <w:r w:rsidRPr="008C727C">
        <w:t>The Director of OEP, or the Director’s designee, has delegated authority to address any requests for approvals or authorizations necessary to carry out the conditions of the Order, and take whatever steps are necessary to ensure the protection of life, health, property, and the environment during operation of the project. This authority shall allow:</w:t>
      </w:r>
    </w:p>
    <w:p w14:paraId="3A291D9B" w14:textId="77777777" w:rsidR="008C727C" w:rsidRPr="008C727C" w:rsidRDefault="008C727C" w:rsidP="008C727C"/>
    <w:p w14:paraId="5661985A" w14:textId="77777777" w:rsidR="008C727C" w:rsidRPr="008C727C" w:rsidRDefault="008C727C" w:rsidP="008C727C">
      <w:pPr>
        <w:numPr>
          <w:ilvl w:val="1"/>
          <w:numId w:val="24"/>
        </w:numPr>
      </w:pPr>
      <w:r w:rsidRPr="008C727C">
        <w:t>the modification of conditions of the Order;</w:t>
      </w:r>
    </w:p>
    <w:p w14:paraId="791E94C0" w14:textId="77777777" w:rsidR="008C727C" w:rsidRPr="008C727C" w:rsidRDefault="008C727C" w:rsidP="008C727C"/>
    <w:p w14:paraId="253D84B6" w14:textId="77777777" w:rsidR="008C727C" w:rsidRPr="008C727C" w:rsidRDefault="008C727C" w:rsidP="008C727C">
      <w:pPr>
        <w:numPr>
          <w:ilvl w:val="1"/>
          <w:numId w:val="24"/>
        </w:numPr>
      </w:pPr>
      <w:r w:rsidRPr="008C727C">
        <w:t>stop-work authority and authority to cease operation; and</w:t>
      </w:r>
    </w:p>
    <w:p w14:paraId="4418F071" w14:textId="77777777" w:rsidR="008C727C" w:rsidRPr="008C727C" w:rsidRDefault="008C727C" w:rsidP="008C727C"/>
    <w:p w14:paraId="0BCCECFB" w14:textId="77777777" w:rsidR="008C727C" w:rsidRPr="008C727C" w:rsidRDefault="008C727C" w:rsidP="008C727C">
      <w:pPr>
        <w:numPr>
          <w:ilvl w:val="1"/>
          <w:numId w:val="24"/>
        </w:numPr>
      </w:pPr>
      <w:r w:rsidRPr="008C727C">
        <w:t>the imposition of any additional measures deemed necessary to ensure continued compliance with the intent of the conditions of the Order as well as the avoidance or mitigation of unforeseen adverse environmental impact resulting from project operation.</w:t>
      </w:r>
    </w:p>
    <w:p w14:paraId="4FAC0910" w14:textId="77777777" w:rsidR="008C727C" w:rsidRPr="008C727C" w:rsidRDefault="008C727C" w:rsidP="008C727C"/>
    <w:p w14:paraId="15E48747" w14:textId="0A1F4E96" w:rsidR="008C727C" w:rsidRPr="008C727C" w:rsidRDefault="008C727C" w:rsidP="008C727C">
      <w:pPr>
        <w:numPr>
          <w:ilvl w:val="0"/>
          <w:numId w:val="24"/>
        </w:numPr>
      </w:pPr>
      <w:r w:rsidRPr="008C727C">
        <w:t xml:space="preserve">Golden Pass </w:t>
      </w:r>
      <w:r w:rsidR="00963E8A">
        <w:t xml:space="preserve">LNG </w:t>
      </w:r>
      <w:r w:rsidRPr="008C727C">
        <w:t>shall continue to comply with all environmental and engineering conditions set forth in the Appendix of the December 16, 2016 Order issued in Docket No CP14-517-000.</w:t>
      </w:r>
    </w:p>
    <w:p w14:paraId="7B2667CF" w14:textId="77777777" w:rsidR="008C727C" w:rsidRPr="008C727C" w:rsidRDefault="008C727C" w:rsidP="008C727C"/>
    <w:p w14:paraId="0B69792C" w14:textId="7C72BAAE" w:rsidR="008C727C" w:rsidRPr="008C727C" w:rsidRDefault="008C727C" w:rsidP="008C727C">
      <w:pPr>
        <w:numPr>
          <w:ilvl w:val="0"/>
          <w:numId w:val="24"/>
        </w:numPr>
      </w:pPr>
      <w:r w:rsidRPr="008C727C">
        <w:lastRenderedPageBreak/>
        <w:t xml:space="preserve">Golden Pass </w:t>
      </w:r>
      <w:r w:rsidR="00963E8A">
        <w:t xml:space="preserve">LNG </w:t>
      </w:r>
      <w:r w:rsidRPr="008C727C">
        <w:t xml:space="preserve">shall not </w:t>
      </w:r>
      <w:r w:rsidR="00F508EC">
        <w:t xml:space="preserve">implement </w:t>
      </w:r>
      <w:r w:rsidR="003C23CC">
        <w:t xml:space="preserve">the production </w:t>
      </w:r>
      <w:r w:rsidR="00F508EC">
        <w:t>capacity increase</w:t>
      </w:r>
      <w:r w:rsidR="003C23CC">
        <w:t xml:space="preserve"> </w:t>
      </w:r>
      <w:r w:rsidR="00963E8A">
        <w:t xml:space="preserve">authorized in this Order </w:t>
      </w:r>
      <w:r w:rsidRPr="008C727C">
        <w:t>until:</w:t>
      </w:r>
    </w:p>
    <w:p w14:paraId="685A41F5" w14:textId="77777777" w:rsidR="008C727C" w:rsidRPr="008C727C" w:rsidRDefault="008C727C" w:rsidP="008C727C"/>
    <w:p w14:paraId="69A13DF3" w14:textId="587096BA" w:rsidR="008C727C" w:rsidRPr="008C727C" w:rsidRDefault="008C727C" w:rsidP="008C727C">
      <w:pPr>
        <w:numPr>
          <w:ilvl w:val="1"/>
          <w:numId w:val="24"/>
        </w:numPr>
      </w:pPr>
      <w:r w:rsidRPr="008C727C">
        <w:t xml:space="preserve">FERC staff receives comments from the </w:t>
      </w:r>
      <w:r w:rsidR="003C23CC">
        <w:t>National Marine Fisheries Service (NMFS)</w:t>
      </w:r>
      <w:r w:rsidR="003C23CC" w:rsidRPr="008C727C">
        <w:t xml:space="preserve"> </w:t>
      </w:r>
      <w:r w:rsidRPr="008C727C">
        <w:t>regarding the proposed action; and</w:t>
      </w:r>
    </w:p>
    <w:p w14:paraId="69D28D55" w14:textId="77777777" w:rsidR="008C727C" w:rsidRPr="008C727C" w:rsidRDefault="008C727C" w:rsidP="008C727C"/>
    <w:p w14:paraId="4D84F1F6" w14:textId="72533E9A" w:rsidR="008C727C" w:rsidRPr="008C727C" w:rsidRDefault="008C727C" w:rsidP="008C727C">
      <w:pPr>
        <w:numPr>
          <w:ilvl w:val="1"/>
          <w:numId w:val="24"/>
        </w:numPr>
      </w:pPr>
      <w:r w:rsidRPr="008C727C">
        <w:t xml:space="preserve">FERC staff completes </w:t>
      </w:r>
      <w:r w:rsidR="00963E8A">
        <w:t>Endangered Species Act</w:t>
      </w:r>
      <w:r w:rsidR="00963E8A" w:rsidRPr="008C727C">
        <w:t xml:space="preserve"> </w:t>
      </w:r>
      <w:r w:rsidRPr="008C727C">
        <w:t xml:space="preserve">consultation with the NMFS.  </w:t>
      </w:r>
    </w:p>
    <w:p w14:paraId="00433C6B" w14:textId="77777777" w:rsidR="008C727C" w:rsidRPr="008C727C" w:rsidRDefault="008C727C" w:rsidP="008C727C"/>
    <w:p w14:paraId="2EDB7F77" w14:textId="77777777" w:rsidR="008C727C" w:rsidRPr="00FD3D3B" w:rsidRDefault="008C727C" w:rsidP="00FD3D3B"/>
    <w:sectPr w:rsidR="008C727C" w:rsidRPr="00FD3D3B" w:rsidSect="00A0607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5A6E" w14:textId="77777777" w:rsidR="00450AFF" w:rsidRDefault="00450AFF" w:rsidP="0048020B">
      <w:r>
        <w:separator/>
      </w:r>
    </w:p>
  </w:endnote>
  <w:endnote w:type="continuationSeparator" w:id="0">
    <w:p w14:paraId="7229F935" w14:textId="77777777" w:rsidR="00450AFF" w:rsidRDefault="00450AFF" w:rsidP="0048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CF49D" w14:textId="77777777" w:rsidR="00765356" w:rsidRDefault="00765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0CD9" w14:textId="77777777" w:rsidR="00765356" w:rsidRDefault="00765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FFA0" w14:textId="77777777" w:rsidR="00765356" w:rsidRDefault="00765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49F2C" w14:textId="77777777" w:rsidR="00450AFF" w:rsidRDefault="00450AFF" w:rsidP="0048020B">
      <w:r>
        <w:separator/>
      </w:r>
    </w:p>
  </w:footnote>
  <w:footnote w:type="continuationSeparator" w:id="0">
    <w:p w14:paraId="5DAB82E1" w14:textId="77777777" w:rsidR="00450AFF" w:rsidRDefault="00450AFF" w:rsidP="0048020B">
      <w:r>
        <w:continuationSeparator/>
      </w:r>
    </w:p>
  </w:footnote>
  <w:footnote w:type="continuationNotice" w:id="1">
    <w:p w14:paraId="11081278" w14:textId="77777777" w:rsidR="00450AFF" w:rsidRPr="008A0497" w:rsidRDefault="00450AFF" w:rsidP="008A0497">
      <w:pPr>
        <w:spacing w:line="14" w:lineRule="exact"/>
        <w:rPr>
          <w:sz w:val="2"/>
        </w:rPr>
      </w:pPr>
    </w:p>
  </w:footnote>
  <w:footnote w:id="2">
    <w:p w14:paraId="15FBA793" w14:textId="64CC5938" w:rsidR="002879AD" w:rsidRDefault="002879AD">
      <w:pPr>
        <w:pStyle w:val="FootnoteText"/>
      </w:pPr>
      <w:r>
        <w:rPr>
          <w:rStyle w:val="FootnoteReference"/>
        </w:rPr>
        <w:footnoteRef/>
      </w:r>
      <w:r>
        <w:t xml:space="preserve"> 15 U.S.C. § 717b(a).</w:t>
      </w:r>
    </w:p>
  </w:footnote>
  <w:footnote w:id="3">
    <w:p w14:paraId="72587C6E" w14:textId="06003764" w:rsidR="002879AD" w:rsidRDefault="002879AD">
      <w:pPr>
        <w:pStyle w:val="FootnoteText"/>
      </w:pPr>
      <w:r>
        <w:rPr>
          <w:rStyle w:val="FootnoteReference"/>
        </w:rPr>
        <w:footnoteRef/>
      </w:r>
      <w:r>
        <w:t xml:space="preserve"> 18 C.F.R. </w:t>
      </w:r>
      <w:r w:rsidR="00EC0C7F">
        <w:t>p</w:t>
      </w:r>
      <w:r w:rsidR="00F2102C">
        <w:t>t.</w:t>
      </w:r>
      <w:r>
        <w:t xml:space="preserve"> 153 (20</w:t>
      </w:r>
      <w:r w:rsidR="00F2102C">
        <w:t>20</w:t>
      </w:r>
      <w:r>
        <w:t>).</w:t>
      </w:r>
    </w:p>
  </w:footnote>
  <w:footnote w:id="4">
    <w:p w14:paraId="415807AF" w14:textId="5732A42C" w:rsidR="001816C3" w:rsidRDefault="001816C3">
      <w:pPr>
        <w:pStyle w:val="FootnoteText"/>
      </w:pPr>
      <w:r>
        <w:rPr>
          <w:rStyle w:val="FootnoteReference"/>
        </w:rPr>
        <w:footnoteRef/>
      </w:r>
      <w:r>
        <w:t xml:space="preserve"> In its application, Golden Pass stated that </w:t>
      </w:r>
      <w:r w:rsidR="00EC2E75">
        <w:t xml:space="preserve">the mass unit of </w:t>
      </w:r>
      <w:r>
        <w:t xml:space="preserve">18.1 </w:t>
      </w:r>
      <w:proofErr w:type="spellStart"/>
      <w:r>
        <w:t>mtpa</w:t>
      </w:r>
      <w:proofErr w:type="spellEnd"/>
      <w:r>
        <w:t xml:space="preserve"> was equivalent to 937 Bcf per year.  </w:t>
      </w:r>
      <w:r w:rsidR="00CC2F4B">
        <w:t>However,</w:t>
      </w:r>
      <w:r>
        <w:t xml:space="preserve"> the actual equivalent volumes would be dependent upon the composition and density of the feed gas.</w:t>
      </w:r>
    </w:p>
  </w:footnote>
  <w:footnote w:id="5">
    <w:p w14:paraId="2CD434FF" w14:textId="262E8F25" w:rsidR="00CB08EE" w:rsidRPr="00CB08EE" w:rsidRDefault="00CB08EE">
      <w:pPr>
        <w:pStyle w:val="FootnoteText"/>
      </w:pPr>
      <w:r>
        <w:rPr>
          <w:rStyle w:val="FootnoteReference"/>
        </w:rPr>
        <w:footnoteRef/>
      </w:r>
      <w:r>
        <w:t xml:space="preserve"> </w:t>
      </w:r>
      <w:r>
        <w:rPr>
          <w:i/>
          <w:iCs/>
        </w:rPr>
        <w:t xml:space="preserve">Golden Pass LNG Terminal </w:t>
      </w:r>
      <w:r w:rsidR="00365462">
        <w:rPr>
          <w:i/>
          <w:iCs/>
        </w:rPr>
        <w:t>LP</w:t>
      </w:r>
      <w:r>
        <w:t>, 112 FERC ¶</w:t>
      </w:r>
      <w:r w:rsidR="00F2102C">
        <w:t> </w:t>
      </w:r>
      <w:r>
        <w:t>61,041 (2005).</w:t>
      </w:r>
      <w:r w:rsidR="00F92487">
        <w:t xml:space="preserve">  On June 9, 2006, Golden Pass LNG Terminal LP legally changed its name to Golden Pass LNG Terminal LLC.</w:t>
      </w:r>
    </w:p>
  </w:footnote>
  <w:footnote w:id="6">
    <w:p w14:paraId="1FC4F5CC" w14:textId="3E204ACE" w:rsidR="00FE4E10" w:rsidRPr="00FE4E10" w:rsidRDefault="00FE4E10" w:rsidP="00C339E0">
      <w:pPr>
        <w:pStyle w:val="FootnoteText"/>
        <w:keepLines/>
      </w:pPr>
      <w:r>
        <w:rPr>
          <w:rStyle w:val="FootnoteReference"/>
        </w:rPr>
        <w:footnoteRef/>
      </w:r>
      <w:r>
        <w:t xml:space="preserve"> </w:t>
      </w:r>
      <w:r>
        <w:rPr>
          <w:i/>
          <w:iCs/>
        </w:rPr>
        <w:t xml:space="preserve">Golden Pass Products </w:t>
      </w:r>
      <w:proofErr w:type="gramStart"/>
      <w:r>
        <w:rPr>
          <w:i/>
          <w:iCs/>
        </w:rPr>
        <w:t xml:space="preserve">LLC </w:t>
      </w:r>
      <w:r>
        <w:t>,</w:t>
      </w:r>
      <w:proofErr w:type="gramEnd"/>
      <w:r>
        <w:t xml:space="preserve"> 157 FERC ¶</w:t>
      </w:r>
      <w:r w:rsidR="00DF1041">
        <w:t xml:space="preserve"> 61,222 (2016)</w:t>
      </w:r>
      <w:r w:rsidR="00CB08EE">
        <w:t>.</w:t>
      </w:r>
    </w:p>
  </w:footnote>
  <w:footnote w:id="7">
    <w:p w14:paraId="5FAACE7E" w14:textId="106DA530" w:rsidR="000D5BE8" w:rsidRDefault="000D5BE8">
      <w:pPr>
        <w:pStyle w:val="FootnoteText"/>
      </w:pPr>
      <w:r>
        <w:rPr>
          <w:rStyle w:val="FootnoteReference"/>
        </w:rPr>
        <w:footnoteRef/>
      </w:r>
      <w:r>
        <w:t xml:space="preserve"> An LNG “train” refers to the compressor facility used to convert natural gas into LNG. </w:t>
      </w:r>
      <w:r w:rsidR="00711008">
        <w:t xml:space="preserve"> </w:t>
      </w:r>
      <w:r>
        <w:t>The three-step process to convert natural gas into LNG includes:</w:t>
      </w:r>
      <w:r w:rsidR="0011514F">
        <w:t xml:space="preserve"> </w:t>
      </w:r>
      <w:r>
        <w:t xml:space="preserve"> gas treatment (to remove impurities and water), gas compression, and refrigeration. </w:t>
      </w:r>
      <w:r w:rsidR="00B51454">
        <w:t xml:space="preserve"> </w:t>
      </w:r>
      <w:r>
        <w:t>After treatment, purified gas goes to the compressor trains to be transformed from gas into liquid by refrigeration to approximately -256ºF.</w:t>
      </w:r>
    </w:p>
  </w:footnote>
  <w:footnote w:id="8">
    <w:p w14:paraId="0403EB41" w14:textId="7DA3555D" w:rsidR="00DF1041" w:rsidRPr="00DF1041" w:rsidRDefault="00DF1041">
      <w:pPr>
        <w:pStyle w:val="FootnoteText"/>
      </w:pPr>
      <w:r>
        <w:rPr>
          <w:rStyle w:val="FootnoteReference"/>
        </w:rPr>
        <w:footnoteRef/>
      </w:r>
      <w:r>
        <w:t xml:space="preserve"> </w:t>
      </w:r>
      <w:r>
        <w:rPr>
          <w:i/>
          <w:iCs/>
        </w:rPr>
        <w:t>Golden Pass LNG Terminal LLC</w:t>
      </w:r>
      <w:r>
        <w:t>, 165 FERC ¶</w:t>
      </w:r>
      <w:r w:rsidR="00172E18">
        <w:t> </w:t>
      </w:r>
      <w:r>
        <w:t>61,261 (2018).</w:t>
      </w:r>
    </w:p>
  </w:footnote>
  <w:footnote w:id="9">
    <w:p w14:paraId="47AA737C" w14:textId="1A1C6525" w:rsidR="004030AC" w:rsidRPr="009967CD" w:rsidRDefault="004030AC">
      <w:pPr>
        <w:pStyle w:val="FootnoteText"/>
      </w:pPr>
      <w:r>
        <w:rPr>
          <w:rStyle w:val="FootnoteReference"/>
        </w:rPr>
        <w:footnoteRef/>
      </w:r>
      <w:r>
        <w:t xml:space="preserve"> </w:t>
      </w:r>
      <w:r w:rsidR="009967CD">
        <w:rPr>
          <w:i/>
          <w:iCs/>
        </w:rPr>
        <w:t>Golden Pass LNG Terminal LLC</w:t>
      </w:r>
      <w:r w:rsidR="009967CD">
        <w:t xml:space="preserve">, </w:t>
      </w:r>
      <w:r w:rsidR="000B0380">
        <w:t>85</w:t>
      </w:r>
      <w:r w:rsidR="009967CD">
        <w:t xml:space="preserve"> Fed. Reg. </w:t>
      </w:r>
      <w:r w:rsidR="000B0380">
        <w:t>34,187</w:t>
      </w:r>
      <w:r w:rsidR="009967CD">
        <w:t xml:space="preserve"> (</w:t>
      </w:r>
      <w:r w:rsidR="000B0380">
        <w:t>June 3</w:t>
      </w:r>
      <w:r w:rsidR="009967CD">
        <w:t>, 2020)</w:t>
      </w:r>
      <w:r w:rsidR="00172E18">
        <w:t xml:space="preserve"> (</w:t>
      </w:r>
      <w:r w:rsidR="00172E18" w:rsidRPr="00E64696">
        <w:t>Notice of Application)</w:t>
      </w:r>
      <w:r w:rsidR="00954A80">
        <w:t>.</w:t>
      </w:r>
    </w:p>
  </w:footnote>
  <w:footnote w:id="10">
    <w:p w14:paraId="1F906599" w14:textId="7D33B3DB" w:rsidR="00172E18" w:rsidRDefault="00172E18">
      <w:pPr>
        <w:pStyle w:val="FootnoteText"/>
      </w:pPr>
      <w:r>
        <w:rPr>
          <w:rStyle w:val="FootnoteReference"/>
        </w:rPr>
        <w:footnoteRef/>
      </w:r>
      <w:r>
        <w:t xml:space="preserve"> </w:t>
      </w:r>
      <w:r w:rsidR="00073F0D">
        <w:t>On August 12, 2020, Devendra Agraw</w:t>
      </w:r>
      <w:r w:rsidR="00D23386">
        <w:t>al</w:t>
      </w:r>
      <w:r w:rsidR="00073F0D">
        <w:t xml:space="preserve"> filed a comment regarding technology used at LNG facilities.</w:t>
      </w:r>
      <w:r w:rsidR="00B51454">
        <w:t xml:space="preserve"> </w:t>
      </w:r>
      <w:r w:rsidR="00073F0D">
        <w:t xml:space="preserve"> This comment was generic in nature and will not be considered in this individual docket. </w:t>
      </w:r>
    </w:p>
  </w:footnote>
  <w:footnote w:id="11">
    <w:p w14:paraId="711D28B2" w14:textId="5C168CEA" w:rsidR="009967CD" w:rsidRDefault="009967CD" w:rsidP="00C339E0">
      <w:pPr>
        <w:pStyle w:val="FootnoteText"/>
        <w:ind w:right="-90"/>
      </w:pPr>
      <w:r>
        <w:rPr>
          <w:rStyle w:val="FootnoteReference"/>
        </w:rPr>
        <w:footnoteRef/>
      </w:r>
      <w:r>
        <w:t xml:space="preserve"> </w:t>
      </w:r>
      <w:r w:rsidRPr="009967CD">
        <w:t xml:space="preserve">15 U.S.C. § 717b(a). </w:t>
      </w:r>
      <w:r w:rsidR="00172E18">
        <w:t xml:space="preserve"> </w:t>
      </w:r>
      <w:r w:rsidRPr="009967CD">
        <w:t>The regulatory functions of section 3 were transferred to the Secretary of Energy in 1977 pursuant to section 301(b) of the Department of Energy Organization Act</w:t>
      </w:r>
      <w:r w:rsidR="002443FF">
        <w:t xml:space="preserve"> </w:t>
      </w:r>
      <w:r w:rsidR="002443FF" w:rsidRPr="002443FF">
        <w:t xml:space="preserve">(Pub. L. No. 95-91, 42 U.S.C. §§7101 </w:t>
      </w:r>
      <w:r w:rsidR="002443FF" w:rsidRPr="002443FF">
        <w:rPr>
          <w:i/>
        </w:rPr>
        <w:t>et seq.</w:t>
      </w:r>
      <w:r w:rsidR="002443FF" w:rsidRPr="002443FF">
        <w:t xml:space="preserve">).  The Secretary of Energy subsequently delegated to the Commission the authority to approve or disapprove the construction and operation of natural gas import and export facilities and the site at which such facilities shall be located.  The most recent delegation is in DOE Delegation Order No. 000-004.00A, effective May 16, 2006.  The Commission does not authorize importation or exportation of the commodity itself.  Rather, applications for authorization to import or export natural gas must be submitted to the DOE.  </w:t>
      </w:r>
      <w:r w:rsidR="002443FF" w:rsidRPr="002443FF">
        <w:rPr>
          <w:i/>
          <w:iCs/>
        </w:rPr>
        <w:t xml:space="preserve">See </w:t>
      </w:r>
      <w:proofErr w:type="spellStart"/>
      <w:r w:rsidR="002443FF" w:rsidRPr="002443FF">
        <w:rPr>
          <w:i/>
          <w:iCs/>
        </w:rPr>
        <w:t>EarthReports</w:t>
      </w:r>
      <w:proofErr w:type="spellEnd"/>
      <w:r w:rsidR="002443FF" w:rsidRPr="002443FF">
        <w:rPr>
          <w:i/>
          <w:iCs/>
        </w:rPr>
        <w:t>, Inc. v. FERC</w:t>
      </w:r>
      <w:r w:rsidR="002443FF" w:rsidRPr="002443FF">
        <w:t>, 828 F. 3d 949, 952-53 (D.C. Cir. 2016) (detailing how regulatory oversight for the export of LNG and supporting facilities is divided between the Commission and DOE).</w:t>
      </w:r>
    </w:p>
  </w:footnote>
  <w:footnote w:id="12">
    <w:p w14:paraId="06AF2DE7" w14:textId="392B80C7" w:rsidR="00344130" w:rsidRDefault="00344130">
      <w:pPr>
        <w:pStyle w:val="FootnoteText"/>
      </w:pPr>
      <w:r>
        <w:rPr>
          <w:rStyle w:val="FootnoteReference"/>
        </w:rPr>
        <w:footnoteRef/>
      </w:r>
      <w:r>
        <w:t xml:space="preserve"> </w:t>
      </w:r>
      <w:r w:rsidRPr="00344130">
        <w:t>For a discussion of the Commission's authority to condition its approvals of LNG facilities under section 3 of the NGA, </w:t>
      </w:r>
      <w:r w:rsidRPr="00344130">
        <w:rPr>
          <w:i/>
          <w:iCs/>
        </w:rPr>
        <w:t xml:space="preserve">see, e.g., </w:t>
      </w:r>
      <w:proofErr w:type="spellStart"/>
      <w:r w:rsidRPr="00344130">
        <w:rPr>
          <w:i/>
          <w:iCs/>
        </w:rPr>
        <w:t>Distrigas</w:t>
      </w:r>
      <w:proofErr w:type="spellEnd"/>
      <w:r w:rsidRPr="00344130">
        <w:rPr>
          <w:i/>
          <w:iCs/>
        </w:rPr>
        <w:t xml:space="preserve"> Corporation v. FPC</w:t>
      </w:r>
      <w:r w:rsidRPr="00344130">
        <w:t>, 495 F.2d 1057, 1063-64 , </w:t>
      </w:r>
      <w:r w:rsidRPr="00344130">
        <w:rPr>
          <w:i/>
          <w:iCs/>
        </w:rPr>
        <w:t>cert. denied</w:t>
      </w:r>
      <w:r w:rsidRPr="00344130">
        <w:t xml:space="preserve">, 419 U.S. 834 </w:t>
      </w:r>
      <w:r w:rsidR="008C6352">
        <w:t xml:space="preserve">(D.C Cir. </w:t>
      </w:r>
      <w:r w:rsidRPr="00344130">
        <w:t>1974) and </w:t>
      </w:r>
      <w:r w:rsidRPr="00344130">
        <w:rPr>
          <w:i/>
          <w:iCs/>
        </w:rPr>
        <w:t>Dynegy LNG Production Terminal, L.P</w:t>
      </w:r>
      <w:r w:rsidRPr="00344130">
        <w:t>., 97 FERC ¶ 61,231 (2001).</w:t>
      </w:r>
    </w:p>
  </w:footnote>
  <w:footnote w:id="13">
    <w:p w14:paraId="0980A680" w14:textId="69E93292" w:rsidR="00EE30AD" w:rsidRDefault="00EE30AD" w:rsidP="00C339E0">
      <w:pPr>
        <w:pStyle w:val="FootnoteText"/>
        <w:keepLines/>
      </w:pPr>
      <w:r>
        <w:rPr>
          <w:rStyle w:val="FootnoteReference"/>
        </w:rPr>
        <w:footnoteRef/>
      </w:r>
      <w:r>
        <w:t xml:space="preserve"> </w:t>
      </w:r>
      <w:r w:rsidRPr="00EE30AD">
        <w:rPr>
          <w:i/>
          <w:iCs/>
        </w:rPr>
        <w:t>Freeport LNG Development, L.P.</w:t>
      </w:r>
      <w:r w:rsidRPr="00EE30AD">
        <w:t>, 156 FERC ¶ 61,019</w:t>
      </w:r>
      <w:r w:rsidR="008C6352">
        <w:t>,</w:t>
      </w:r>
      <w:r w:rsidRPr="00EE30AD">
        <w:rPr>
          <w:i/>
          <w:iCs/>
        </w:rPr>
        <w:t xml:space="preserve"> </w:t>
      </w:r>
      <w:r w:rsidRPr="00EE30AD">
        <w:t xml:space="preserve">at P 13 (2016) (approving an increase in authorized maximum peak day LNG production level from 1.8 Bcf per day to 2.14 Bcf per day based on more detailed information obtained and changes made during the final design process); </w:t>
      </w:r>
      <w:r w:rsidRPr="00EE30AD">
        <w:rPr>
          <w:i/>
          <w:iCs/>
        </w:rPr>
        <w:t>see, e.g., Sabine Pass Liquefaction, LLC</w:t>
      </w:r>
      <w:r w:rsidRPr="00EE30AD">
        <w:t>, 146 FERC ¶ 61,117</w:t>
      </w:r>
      <w:r w:rsidR="00711008">
        <w:t>,</w:t>
      </w:r>
      <w:r w:rsidRPr="00EE30AD">
        <w:t xml:space="preserve"> at P 12</w:t>
      </w:r>
      <w:r w:rsidR="00B51454">
        <w:t xml:space="preserve"> (2014)</w:t>
      </w:r>
      <w:r w:rsidRPr="00EE30AD">
        <w:t xml:space="preserve"> (approving an increase in authorized LNG production capacity to 20 million tons per year based on more detailed engineering analysis).</w:t>
      </w:r>
    </w:p>
  </w:footnote>
  <w:footnote w:id="14">
    <w:p w14:paraId="340EC908" w14:textId="724CBEC2" w:rsidR="00AA0AD2" w:rsidRDefault="00AA0AD2">
      <w:pPr>
        <w:pStyle w:val="FootnoteText"/>
      </w:pPr>
      <w:r>
        <w:rPr>
          <w:rStyle w:val="FootnoteReference"/>
        </w:rPr>
        <w:footnoteRef/>
      </w:r>
      <w:r>
        <w:t xml:space="preserve"> While we are setting an annual capacity level for Golden Pass’ facility, staff performed its hazard analysis based upon the estimated maximum hourly throughput.</w:t>
      </w:r>
    </w:p>
  </w:footnote>
  <w:footnote w:id="15">
    <w:p w14:paraId="33446E14" w14:textId="25F3786C" w:rsidR="00C82362" w:rsidRDefault="00C82362" w:rsidP="00C339E0">
      <w:pPr>
        <w:pStyle w:val="FootnoteText"/>
        <w:keepLines/>
      </w:pPr>
      <w:r>
        <w:rPr>
          <w:rStyle w:val="FootnoteReference"/>
        </w:rPr>
        <w:footnoteRef/>
      </w:r>
      <w:r>
        <w:t xml:space="preserve"> </w:t>
      </w:r>
      <w:r w:rsidR="006E3671">
        <w:t>The Coast Guard</w:t>
      </w:r>
      <w:r w:rsidR="00FC2F40">
        <w:t>’s regulatory authority includes</w:t>
      </w:r>
      <w:r w:rsidR="006E3671">
        <w:t xml:space="preserve"> </w:t>
      </w:r>
      <w:r w:rsidR="006E3671" w:rsidRPr="006E3671">
        <w:t>assess</w:t>
      </w:r>
      <w:r w:rsidR="00FC2F40">
        <w:t>ing</w:t>
      </w:r>
      <w:r w:rsidR="006E3671" w:rsidRPr="006E3671">
        <w:t xml:space="preserve"> the suitability of the </w:t>
      </w:r>
      <w:r w:rsidR="00FC2F40">
        <w:t>p</w:t>
      </w:r>
      <w:r w:rsidR="006E3671" w:rsidRPr="006E3671">
        <w:t xml:space="preserve">roject </w:t>
      </w:r>
      <w:r w:rsidR="00FC2F40">
        <w:t>w</w:t>
      </w:r>
      <w:r w:rsidR="006E3671" w:rsidRPr="006E3671">
        <w:t>aterways for LNG marine traffic.</w:t>
      </w:r>
      <w:r w:rsidR="00FC2F40">
        <w:t xml:space="preserve">  </w:t>
      </w:r>
      <w:r w:rsidR="00FC2F40" w:rsidRPr="00496A4C">
        <w:rPr>
          <w:i/>
          <w:iCs/>
        </w:rPr>
        <w:t>See</w:t>
      </w:r>
      <w:r w:rsidR="00FC2F40">
        <w:t xml:space="preserve"> EA at 4.</w:t>
      </w:r>
    </w:p>
  </w:footnote>
  <w:footnote w:id="16">
    <w:p w14:paraId="0DFA601C" w14:textId="3D287D81" w:rsidR="001D4EB9" w:rsidRDefault="001D4EB9">
      <w:pPr>
        <w:pStyle w:val="FootnoteText"/>
      </w:pPr>
      <w:r>
        <w:rPr>
          <w:rStyle w:val="FootnoteReference"/>
        </w:rPr>
        <w:footnoteRef/>
      </w:r>
      <w:r>
        <w:t xml:space="preserve"> </w:t>
      </w:r>
      <w:r w:rsidR="00DD3571" w:rsidRPr="00496A4C">
        <w:rPr>
          <w:i/>
          <w:iCs/>
        </w:rPr>
        <w:t>Id.</w:t>
      </w:r>
      <w:r w:rsidR="00DD3571">
        <w:t xml:space="preserve"> </w:t>
      </w:r>
      <w:r>
        <w:t>at 14.</w:t>
      </w:r>
    </w:p>
  </w:footnote>
  <w:footnote w:id="17">
    <w:p w14:paraId="0436D991" w14:textId="7BB79C61" w:rsidR="00A453D1" w:rsidRDefault="00A453D1">
      <w:pPr>
        <w:pStyle w:val="FootnoteText"/>
      </w:pPr>
      <w:r>
        <w:rPr>
          <w:rStyle w:val="FootnoteReference"/>
        </w:rPr>
        <w:footnoteRef/>
      </w:r>
      <w:r>
        <w:t xml:space="preserve"> </w:t>
      </w:r>
      <w:r w:rsidRPr="00496A4C">
        <w:rPr>
          <w:i/>
          <w:iCs/>
        </w:rPr>
        <w:t>See</w:t>
      </w:r>
      <w:r w:rsidRPr="00B12939">
        <w:t xml:space="preserve"> </w:t>
      </w:r>
      <w:r w:rsidR="00DD3571" w:rsidRPr="00496A4C">
        <w:rPr>
          <w:i/>
          <w:iCs/>
        </w:rPr>
        <w:t>id.</w:t>
      </w:r>
      <w:r w:rsidR="00DD3571">
        <w:t xml:space="preserve"> </w:t>
      </w:r>
      <w:r w:rsidRPr="00B12939">
        <w:t xml:space="preserve">at </w:t>
      </w:r>
      <w:r w:rsidR="00004373" w:rsidRPr="00496A4C">
        <w:t>5</w:t>
      </w:r>
      <w:r w:rsidR="00EB00E9">
        <w:t>, 6</w:t>
      </w:r>
      <w:r w:rsidR="00B12939">
        <w:t>,</w:t>
      </w:r>
      <w:r w:rsidR="009E3611">
        <w:t xml:space="preserve"> and</w:t>
      </w:r>
      <w:r w:rsidR="00B12939">
        <w:t xml:space="preserve"> </w:t>
      </w:r>
      <w:r w:rsidR="009E3611">
        <w:t>1</w:t>
      </w:r>
      <w:r w:rsidR="00B12939">
        <w:t>4-15</w:t>
      </w:r>
      <w:r w:rsidRPr="00B12939">
        <w:t>.</w:t>
      </w:r>
    </w:p>
  </w:footnote>
  <w:footnote w:id="18">
    <w:p w14:paraId="52AE839B" w14:textId="4A879F3A" w:rsidR="00003A4D" w:rsidRDefault="00003A4D">
      <w:pPr>
        <w:pStyle w:val="FootnoteText"/>
      </w:pPr>
      <w:r>
        <w:rPr>
          <w:rStyle w:val="FootnoteReference"/>
        </w:rPr>
        <w:footnoteRef/>
      </w:r>
      <w:r>
        <w:t xml:space="preserve"> </w:t>
      </w:r>
      <w:r w:rsidR="00DD3571" w:rsidRPr="00496A4C">
        <w:rPr>
          <w:i/>
          <w:iCs/>
        </w:rPr>
        <w:t>Id.</w:t>
      </w:r>
      <w:r w:rsidR="00DD3571">
        <w:t xml:space="preserve"> </w:t>
      </w:r>
      <w:r>
        <w:t>at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394C2" w14:textId="77777777" w:rsidR="00653D8D" w:rsidRDefault="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11EEB03E" w14:textId="77777777" w:rsidR="00653D8D" w:rsidRDefault="00653D8D" w:rsidP="00407E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5F94" w14:textId="52C9A379" w:rsidR="00653D8D" w:rsidRDefault="000823D2" w:rsidP="00A06075">
    <w:pPr>
      <w:pStyle w:val="Header"/>
      <w:tabs>
        <w:tab w:val="clear" w:pos="4680"/>
      </w:tabs>
      <w:spacing w:after="240"/>
    </w:pPr>
    <w:r>
      <w:rPr>
        <w:noProof/>
      </w:rPr>
      <mc:AlternateContent>
        <mc:Choice Requires="wps">
          <w:drawing>
            <wp:anchor distT="0" distB="0" distL="114300" distR="114300" simplePos="0" relativeHeight="251659264" behindDoc="0" locked="0" layoutInCell="0" allowOverlap="1" wp14:anchorId="1C91308D" wp14:editId="419687B3">
              <wp:simplePos x="0" y="0"/>
              <wp:positionH relativeFrom="page">
                <wp:posOffset>0</wp:posOffset>
              </wp:positionH>
              <wp:positionV relativeFrom="page">
                <wp:posOffset>190500</wp:posOffset>
              </wp:positionV>
              <wp:extent cx="7772400" cy="266700"/>
              <wp:effectExtent l="0" t="0" r="0" b="0"/>
              <wp:wrapNone/>
              <wp:docPr id="1" name="MSIPCM87024d40beb9878b0d4b1b77" descr="{&quot;HashCode&quot;:-17513996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F59E52" w14:textId="07EB29C4" w:rsidR="000823D2" w:rsidRPr="000823D2" w:rsidRDefault="000823D2" w:rsidP="000823D2">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91308D" id="_x0000_t202" coordsize="21600,21600" o:spt="202" path="m,l,21600r21600,l21600,xe">
              <v:stroke joinstyle="miter"/>
              <v:path gradientshapeok="t" o:connecttype="rect"/>
            </v:shapetype>
            <v:shape id="MSIPCM87024d40beb9878b0d4b1b77" o:spid="_x0000_s1026" type="#_x0000_t202" alt="{&quot;HashCode&quot;:-175139966,&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JGFQMAADYGAAAOAAAAZHJzL2Uyb0RvYy54bWysVE1v2zAMvQ/YfxB02Gmp7dS1Y69u0abI&#10;ViBtA6RDz7Is18JsyZWUxlnR/z7KltOP7TAMu0gUST2RjxSPT7umRo9MaS5FhoMDHyMmqCy4uM/w&#10;99vFZIaRNkQUpJaCZXjHND49+fjheNumbCorWRdMIQAROt22Ga6MaVPP07RiDdEHsmUCjKVUDTFw&#10;VPdeocgW0Jvam/p+5G2lKlolKdMatBeDEZ/0+GXJqLkpS80MqjMMsZl+Vf2a29U7OSbpvSJtxakL&#10;g/xDFA3hAh7dQ10QQ9BG8d+gGk6V1LI0B1Q2nixLTlmfA2QT+O+yWVekZX0uQI5u9zTp/wdLrx9X&#10;CvECaoeRIA2U6Gp9uZpfzWJ/Ghahn7M8mcWz3C/CPMjjGKOCaQoMPn162Ejz5RvR1VwWbDilkyA+&#10;Cg6TJIo+Ozvj95Vx1jiZHvjOcMcLUzl9FLzoVzWhrGFivDPCEGiUQXYAl6JgnQMYtpXiDVG7N15r&#10;aAHoTecXuLu3snUafx/QkpXjm6B8tq2xbXUKDK1b4Mh057KzNDm9BqWteFeqxu5QSwR2aLLdvrFY&#10;ZxAFZRzH09AHEwXbNIpikAHGe7ndKm2+MtkgK2RYQdR9P5HHpTaD6+hiHxNywesa9CStBdpmODo8&#10;8vsLewuA18I6QBCA4aShKZ+SAOI5nyaTRTSLJ+EiPJoksT+b+EFynkR+mIQXi2eLF4RpxYuCiSUX&#10;bPwgQfh3Dei+6tDa/Rd5E6qWNS9sHjY2m928VuiRwE/NoQd+OIZeeXlvw+kJhOzGvc/SszUbamMl&#10;0+WdK1guix3UUUngF0qhW7rg8OiSaLMiCn49KGGSmRtYyloCqdJJGFVS/fyT3voDF2DFaAtTJMP6&#10;YUMUw6i+FPBNkyAMAdb0BxDUa20+asWmmUtIG74gRNWL1tfUo1gq2dzBoDuzr4GJCApvZtiM4tzA&#10;CQwwKCk7O+tlGDAtMUuxbqmFHkm+7e6Ial2fGaDvWo5zhqTv2m3wtTeFPNsYWfK+Fy2xA5tAvT3A&#10;cOqL4AapnX6vz73Xy7g/+QUAAP//AwBQSwMEFAAGAAgAAAAhAGg7lXbbAAAABwEAAA8AAABkcnMv&#10;ZG93bnJldi54bWxMj8FOwzAMhu9IvENkJG4soSDKuqYTAu2ChETHLtyyxrQViVM1WVveHu8EJ9v6&#10;rc+fy+3inZhwjH0gDbcrBQKpCbanVsPhY3fzCCImQ9a4QKjhByNsq8uL0hQ2zFTjtE+tYAjFwmjo&#10;UhoKKWPToTdxFQYkzr7C6E3icWylHc3McO9kptSD9KYnvtCZAZ87bL73J8+U9cvrkt7y9xBdvZsn&#10;/3nI60Hr66vlaQMi4ZL+luGsz+pQsdMxnMhG4TTwI0nDneJ6TrPsnrujhjxTIKtS/vevfgEAAP//&#10;AwBQSwECLQAUAAYACAAAACEAtoM4kv4AAADhAQAAEwAAAAAAAAAAAAAAAAAAAAAAW0NvbnRlbnRf&#10;VHlwZXNdLnhtbFBLAQItABQABgAIAAAAIQA4/SH/1gAAAJQBAAALAAAAAAAAAAAAAAAAAC8BAABf&#10;cmVscy8ucmVsc1BLAQItABQABgAIAAAAIQCbnNJGFQMAADYGAAAOAAAAAAAAAAAAAAAAAC4CAABk&#10;cnMvZTJvRG9jLnhtbFBLAQItABQABgAIAAAAIQBoO5V22wAAAAcBAAAPAAAAAAAAAAAAAAAAAG8F&#10;AABkcnMvZG93bnJldi54bWxQSwUGAAAAAAQABADzAAAAdwYAAAAA&#10;" o:allowincell="f" filled="f" stroked="f" strokeweight=".5pt">
              <v:textbox inset=",0,,0">
                <w:txbxContent>
                  <w:p w14:paraId="76F59E52" w14:textId="07EB29C4" w:rsidR="000823D2" w:rsidRPr="000823D2" w:rsidRDefault="000823D2" w:rsidP="000823D2">
                    <w:pPr>
                      <w:jc w:val="center"/>
                      <w:rPr>
                        <w:color w:val="A80000"/>
                      </w:rPr>
                    </w:pPr>
                  </w:p>
                </w:txbxContent>
              </v:textbox>
              <w10:wrap anchorx="page" anchory="page"/>
            </v:shape>
          </w:pict>
        </mc:Fallback>
      </mc:AlternateContent>
    </w:r>
    <w:r w:rsidR="00A06075">
      <w:t xml:space="preserve">Docket No. CP20-459-000 </w:t>
    </w:r>
    <w:r w:rsidR="00A06075">
      <w:tab/>
    </w:r>
    <w:r w:rsidR="00A06075">
      <w:fldChar w:fldCharType="begin"/>
    </w:r>
    <w:r w:rsidR="00A06075">
      <w:instrText xml:space="preserve"> PAGE  \* MERGEFORMAT </w:instrText>
    </w:r>
    <w:r w:rsidR="00A06075">
      <w:fldChar w:fldCharType="separate"/>
    </w:r>
    <w:r w:rsidR="00A06075">
      <w:rPr>
        <w:noProof/>
      </w:rPr>
      <w:t>- 1 -</w:t>
    </w:r>
    <w:r w:rsidR="00A060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1992" w14:textId="34C13F6B" w:rsidR="00653D8D" w:rsidRDefault="000823D2" w:rsidP="00EC3F55">
    <w:pPr>
      <w:pStyle w:val="Header"/>
      <w:tabs>
        <w:tab w:val="clear" w:pos="4680"/>
      </w:tabs>
    </w:pPr>
    <w:r>
      <w:rPr>
        <w:noProof/>
      </w:rPr>
      <mc:AlternateContent>
        <mc:Choice Requires="wps">
          <w:drawing>
            <wp:anchor distT="0" distB="0" distL="114300" distR="114300" simplePos="0" relativeHeight="251660288" behindDoc="0" locked="0" layoutInCell="0" allowOverlap="1" wp14:anchorId="74AABA18" wp14:editId="70C70643">
              <wp:simplePos x="0" y="0"/>
              <wp:positionH relativeFrom="page">
                <wp:posOffset>0</wp:posOffset>
              </wp:positionH>
              <wp:positionV relativeFrom="page">
                <wp:posOffset>190500</wp:posOffset>
              </wp:positionV>
              <wp:extent cx="7772400" cy="266700"/>
              <wp:effectExtent l="0" t="0" r="0" b="0"/>
              <wp:wrapNone/>
              <wp:docPr id="2" name="MSIPCM99c54b039a0751bf9edde17e" descr="{&quot;HashCode&quot;:-17513996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C9989A" w14:textId="63AE0AC9" w:rsidR="000823D2" w:rsidRPr="000823D2" w:rsidRDefault="000823D2" w:rsidP="000823D2">
                          <w:pPr>
                            <w:jc w:val="center"/>
                            <w:rPr>
                              <w:color w:val="A8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AABA18" id="_x0000_t202" coordsize="21600,21600" o:spt="202" path="m,l,21600r21600,l21600,xe">
              <v:stroke joinstyle="miter"/>
              <v:path gradientshapeok="t" o:connecttype="rect"/>
            </v:shapetype>
            <v:shape id="MSIPCM99c54b039a0751bf9edde17e" o:spid="_x0000_s1027" type="#_x0000_t202" alt="{&quot;HashCode&quot;:-175139966,&quot;Height&quot;:792.0,&quot;Width&quot;:612.0,&quot;Placement&quot;:&quot;Header&quot;,&quot;Index&quot;:&quot;FirstPage&quot;,&quot;Section&quot;:1,&quot;Top&quot;:0.0,&quot;Left&quot;:0.0}" style="position:absolute;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IGFAMAAD8GAAAOAAAAZHJzL2Uyb0RvYy54bWysVEtv2zAMvg/YfzB02GmJ7dSx66xOkabI&#10;ViBtA6RDz4osx8ZsSZWUxF3R/z5KltPHdhiGXSSKpD7x8Yln521Te3sqVcVZhsJhgDzKCM8rts3Q&#10;97vF4BR5SmOW45ozmqFHqtD59OOHs4OY0BEveZ1T6QEIU5ODyFCptZj4viIlbbAackEZGAsuG6zh&#10;KLd+LvEB0JvaHwVB7B+4zIXkhCoF2svOiKYWvygo0bdFoaj26gxBbNqu0q4bs/rTMzzZSizKirgw&#10;8D9E0eCKwaNHqEussbeT1W9QTUUkV7zQQ8IbnxdFRajNAbIJg3fZrEssqM0FiqPEsUzq/8GSm/1K&#10;elWeoRHyGG6gRdfrq9X8Ok3JONoEJykOknG4KVKa5zRMKPJyqghU8OnTw47rL9+wKuc8p91pMgjB&#10;+yRN4/izs9NqW2pnTdLRMHCG+yrXpdPH4Yt+VWNCG8r6Oz0MBqJ0sgO4YjltHUC3LSqp9ApvXTDO&#10;bw0kAHY6z9Bp77hwmuAY0pIW/augfDbkOAg1gRqtBVRJtxe8BZL3egVK0/O2kI3ZoZse2IFmj0dq&#10;0VZ7BJRJkoyiAEwEbKM4TkAGeP/ltoDYv1LeeEbIkISoLaPwfql059q7mMcYX1R1belbM++Qofhk&#10;HNgLRwuA18z4QhCA4aSOlk9pCPFcjNLBIj5NBtEiGg/SJDgdBGF6kcZBlEaXi2eDF0aTsoLes2XF&#10;aP9FwujvKOg+a0du+0nehKp4XeUmDxObyW5eS2+P4a9ugAU/XIVeeflvw7EFhOz63Wbpm551vTGS&#10;bjetJfixbxueP0I7JYcyQ0eUIJY4S2zII+H7gxJGmr6Fpag51JY7CXkllz//pDf+UBKwIu8A4yRD&#10;6mGHJXyX+orBf03DKAJYbQ8gyNfaTa9lu2bOIfvQRmVF46vrXiwkb+5h4s3Ma2DCjMCbGdK9ONdw&#10;AgNMTEJnMyvDpBFYL9laEAPd1/quvcdSOLppqOIN7wcOnrxjXedrbjI+22leVJaSpr5dNaED5gBT&#10;yvbCTVQzBl+frdfL3J/+AgAA//8DAFBLAwQUAAYACAAAACEAaDuVdtsAAAAHAQAADwAAAGRycy9k&#10;b3ducmV2LnhtbEyPwU7DMAyG70i8Q2QkbiyhIMq6phMC7YKERMcu3LLGtBWJUzVZW94e7wQn2/qt&#10;z5/L7eKdmHCMfSANtysFAqkJtqdWw+Fjd/MIIiZD1rhAqOEHI2yry4vSFDbMVOO0T61gCMXCaOhS&#10;GgopY9OhN3EVBiTOvsLoTeJxbKUdzcxw72Sm1IP0pie+0JkBnztsvvcnz5T1y+uS3vL3EF29myf/&#10;ecjrQevrq+VpAyLhkv6W4azP6lCx0zGcyEbhNPAjScOd4npOs+yeu6OGPFMgq1L+969+AQAA//8D&#10;AFBLAQItABQABgAIAAAAIQC2gziS/gAAAOEBAAATAAAAAAAAAAAAAAAAAAAAAABbQ29udGVudF9U&#10;eXBlc10ueG1sUEsBAi0AFAAGAAgAAAAhADj9If/WAAAAlAEAAAsAAAAAAAAAAAAAAAAALwEAAF9y&#10;ZWxzLy5yZWxzUEsBAi0AFAAGAAgAAAAhABqYEgYUAwAAPwYAAA4AAAAAAAAAAAAAAAAALgIAAGRy&#10;cy9lMm9Eb2MueG1sUEsBAi0AFAAGAAgAAAAhAGg7lXbbAAAABwEAAA8AAAAAAAAAAAAAAAAAbgUA&#10;AGRycy9kb3ducmV2LnhtbFBLBQYAAAAABAAEAPMAAAB2BgAAAAA=&#10;" o:allowincell="f" filled="f" stroked="f" strokeweight=".5pt">
              <v:textbox inset=",0,,0">
                <w:txbxContent>
                  <w:p w14:paraId="05C9989A" w14:textId="63AE0AC9" w:rsidR="000823D2" w:rsidRPr="000823D2" w:rsidRDefault="000823D2" w:rsidP="000823D2">
                    <w:pPr>
                      <w:jc w:val="center"/>
                      <w:rPr>
                        <w:color w:val="A8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decimal"/>
      <w:lvlText w:val="%1."/>
      <w:lvlJc w:val="left"/>
      <w:pPr>
        <w:ind w:left="820" w:hanging="721"/>
      </w:pPr>
      <w:rPr>
        <w:rFonts w:ascii="Times New Roman" w:hAnsi="Times New Roman" w:cs="Times New Roman"/>
        <w:b w:val="0"/>
        <w:bCs w:val="0"/>
        <w:w w:val="100"/>
        <w:sz w:val="24"/>
        <w:szCs w:val="24"/>
      </w:rPr>
    </w:lvl>
    <w:lvl w:ilvl="1">
      <w:start w:val="1"/>
      <w:numFmt w:val="lowerLetter"/>
      <w:lvlText w:val="%2."/>
      <w:lvlJc w:val="left"/>
      <w:pPr>
        <w:ind w:left="1540" w:hanging="720"/>
      </w:pPr>
      <w:rPr>
        <w:rFonts w:ascii="Times New Roman" w:hAnsi="Times New Roman" w:cs="Times New Roman"/>
        <w:b w:val="0"/>
        <w:bCs w:val="0"/>
        <w:w w:val="100"/>
        <w:sz w:val="24"/>
        <w:szCs w:val="24"/>
      </w:rPr>
    </w:lvl>
    <w:lvl w:ilvl="2">
      <w:numFmt w:val="bullet"/>
      <w:lvlText w:val="•"/>
      <w:lvlJc w:val="left"/>
      <w:pPr>
        <w:ind w:left="2428" w:hanging="720"/>
      </w:pPr>
    </w:lvl>
    <w:lvl w:ilvl="3">
      <w:numFmt w:val="bullet"/>
      <w:lvlText w:val="•"/>
      <w:lvlJc w:val="left"/>
      <w:pPr>
        <w:ind w:left="3317" w:hanging="720"/>
      </w:pPr>
    </w:lvl>
    <w:lvl w:ilvl="4">
      <w:numFmt w:val="bullet"/>
      <w:lvlText w:val="•"/>
      <w:lvlJc w:val="left"/>
      <w:pPr>
        <w:ind w:left="4206" w:hanging="720"/>
      </w:pPr>
    </w:lvl>
    <w:lvl w:ilvl="5">
      <w:numFmt w:val="bullet"/>
      <w:lvlText w:val="•"/>
      <w:lvlJc w:val="left"/>
      <w:pPr>
        <w:ind w:left="5095" w:hanging="720"/>
      </w:pPr>
    </w:lvl>
    <w:lvl w:ilvl="6">
      <w:numFmt w:val="bullet"/>
      <w:lvlText w:val="•"/>
      <w:lvlJc w:val="left"/>
      <w:pPr>
        <w:ind w:left="5984" w:hanging="720"/>
      </w:pPr>
    </w:lvl>
    <w:lvl w:ilvl="7">
      <w:numFmt w:val="bullet"/>
      <w:lvlText w:val="•"/>
      <w:lvlJc w:val="left"/>
      <w:pPr>
        <w:ind w:left="6873" w:hanging="720"/>
      </w:pPr>
    </w:lvl>
    <w:lvl w:ilvl="8">
      <w:numFmt w:val="bullet"/>
      <w:lvlText w:val="•"/>
      <w:lvlJc w:val="left"/>
      <w:pPr>
        <w:ind w:left="7762" w:hanging="720"/>
      </w:pPr>
    </w:lvl>
  </w:abstractNum>
  <w:abstractNum w:abstractNumId="11"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2"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3"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6" w15:restartNumberingAfterBreak="0">
    <w:nsid w:val="37C539DA"/>
    <w:multiLevelType w:val="hybridMultilevel"/>
    <w:tmpl w:val="9AEE4D84"/>
    <w:lvl w:ilvl="0" w:tplc="7E1EE63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0C3437"/>
    <w:multiLevelType w:val="hybridMultilevel"/>
    <w:tmpl w:val="EFE26196"/>
    <w:lvl w:ilvl="0" w:tplc="B472E9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502FF"/>
    <w:multiLevelType w:val="multilevel"/>
    <w:tmpl w:val="0DC81868"/>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1" w15:restartNumberingAfterBreak="0">
    <w:nsid w:val="7D3B09D3"/>
    <w:multiLevelType w:val="hybridMultilevel"/>
    <w:tmpl w:val="CBA4F348"/>
    <w:lvl w:ilvl="0" w:tplc="A886A3F8">
      <w:start w:val="1"/>
      <w:numFmt w:val="decimal"/>
      <w:pStyle w:val="FERCparanumber"/>
      <w:lvlText w:val="%1."/>
      <w:lvlJc w:val="left"/>
      <w:pPr>
        <w:tabs>
          <w:tab w:val="num" w:pos="4410"/>
        </w:tabs>
        <w:ind w:left="369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4"/>
  </w:num>
  <w:num w:numId="14">
    <w:abstractNumId w:val="20"/>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15"/>
  </w:num>
  <w:num w:numId="20">
    <w:abstractNumId w:val="13"/>
  </w:num>
  <w:num w:numId="21">
    <w:abstractNumId w:val="22"/>
  </w:num>
  <w:num w:numId="22">
    <w:abstractNumId w:val="17"/>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75"/>
    <w:rsid w:val="00003340"/>
    <w:rsid w:val="00003A4D"/>
    <w:rsid w:val="00004373"/>
    <w:rsid w:val="0000731D"/>
    <w:rsid w:val="00010FA6"/>
    <w:rsid w:val="000118C8"/>
    <w:rsid w:val="000143AA"/>
    <w:rsid w:val="00015B0B"/>
    <w:rsid w:val="0002042F"/>
    <w:rsid w:val="00022A33"/>
    <w:rsid w:val="0002355F"/>
    <w:rsid w:val="00026815"/>
    <w:rsid w:val="000428C4"/>
    <w:rsid w:val="000431BD"/>
    <w:rsid w:val="000442C1"/>
    <w:rsid w:val="0004624A"/>
    <w:rsid w:val="00047A36"/>
    <w:rsid w:val="000550DC"/>
    <w:rsid w:val="00055F5F"/>
    <w:rsid w:val="0006117F"/>
    <w:rsid w:val="00070857"/>
    <w:rsid w:val="0007377C"/>
    <w:rsid w:val="00073F0D"/>
    <w:rsid w:val="0007636C"/>
    <w:rsid w:val="000823D2"/>
    <w:rsid w:val="0008478C"/>
    <w:rsid w:val="00084A31"/>
    <w:rsid w:val="00086D98"/>
    <w:rsid w:val="0008778D"/>
    <w:rsid w:val="00092634"/>
    <w:rsid w:val="00097C05"/>
    <w:rsid w:val="000A3D2F"/>
    <w:rsid w:val="000A6835"/>
    <w:rsid w:val="000B0380"/>
    <w:rsid w:val="000B4124"/>
    <w:rsid w:val="000B7E62"/>
    <w:rsid w:val="000C0253"/>
    <w:rsid w:val="000C0D42"/>
    <w:rsid w:val="000C1FCA"/>
    <w:rsid w:val="000C4A0B"/>
    <w:rsid w:val="000C6869"/>
    <w:rsid w:val="000D0EE6"/>
    <w:rsid w:val="000D138C"/>
    <w:rsid w:val="000D1D4B"/>
    <w:rsid w:val="000D1FB6"/>
    <w:rsid w:val="000D5BE8"/>
    <w:rsid w:val="000D6DFF"/>
    <w:rsid w:val="000D739B"/>
    <w:rsid w:val="000D7DD4"/>
    <w:rsid w:val="000D7E96"/>
    <w:rsid w:val="000E0857"/>
    <w:rsid w:val="000E2BFA"/>
    <w:rsid w:val="000F2DC1"/>
    <w:rsid w:val="000F372C"/>
    <w:rsid w:val="000F603B"/>
    <w:rsid w:val="000F6403"/>
    <w:rsid w:val="000F6C7F"/>
    <w:rsid w:val="00100E1B"/>
    <w:rsid w:val="00101107"/>
    <w:rsid w:val="00102736"/>
    <w:rsid w:val="0010290F"/>
    <w:rsid w:val="00104F76"/>
    <w:rsid w:val="00112BB3"/>
    <w:rsid w:val="0011514F"/>
    <w:rsid w:val="00116063"/>
    <w:rsid w:val="00120603"/>
    <w:rsid w:val="001209EF"/>
    <w:rsid w:val="00124C66"/>
    <w:rsid w:val="00124D13"/>
    <w:rsid w:val="0012713F"/>
    <w:rsid w:val="00127478"/>
    <w:rsid w:val="001279B9"/>
    <w:rsid w:val="00130CCE"/>
    <w:rsid w:val="00132D57"/>
    <w:rsid w:val="00134517"/>
    <w:rsid w:val="00136AE1"/>
    <w:rsid w:val="001421AA"/>
    <w:rsid w:val="00142737"/>
    <w:rsid w:val="00146A50"/>
    <w:rsid w:val="001520D4"/>
    <w:rsid w:val="001549DE"/>
    <w:rsid w:val="00154C7A"/>
    <w:rsid w:val="00157947"/>
    <w:rsid w:val="00172E18"/>
    <w:rsid w:val="0017439E"/>
    <w:rsid w:val="001768CA"/>
    <w:rsid w:val="0017696A"/>
    <w:rsid w:val="0017701D"/>
    <w:rsid w:val="001816C3"/>
    <w:rsid w:val="0018758C"/>
    <w:rsid w:val="00191617"/>
    <w:rsid w:val="0019292E"/>
    <w:rsid w:val="001960DD"/>
    <w:rsid w:val="001A2AF1"/>
    <w:rsid w:val="001A33D6"/>
    <w:rsid w:val="001A563A"/>
    <w:rsid w:val="001B042B"/>
    <w:rsid w:val="001B1FE9"/>
    <w:rsid w:val="001B249B"/>
    <w:rsid w:val="001B2C6D"/>
    <w:rsid w:val="001B2DF9"/>
    <w:rsid w:val="001B362D"/>
    <w:rsid w:val="001B4FB2"/>
    <w:rsid w:val="001C2FBB"/>
    <w:rsid w:val="001D1EFC"/>
    <w:rsid w:val="001D264B"/>
    <w:rsid w:val="001D3B0D"/>
    <w:rsid w:val="001D4EB9"/>
    <w:rsid w:val="001D7927"/>
    <w:rsid w:val="001E55F4"/>
    <w:rsid w:val="001E59F9"/>
    <w:rsid w:val="001E7A8F"/>
    <w:rsid w:val="001F51A0"/>
    <w:rsid w:val="001F5CC6"/>
    <w:rsid w:val="00202BC3"/>
    <w:rsid w:val="00203911"/>
    <w:rsid w:val="002072CF"/>
    <w:rsid w:val="00211765"/>
    <w:rsid w:val="002136E7"/>
    <w:rsid w:val="002206DB"/>
    <w:rsid w:val="00223DBB"/>
    <w:rsid w:val="00224859"/>
    <w:rsid w:val="00225A12"/>
    <w:rsid w:val="002261B3"/>
    <w:rsid w:val="002318B6"/>
    <w:rsid w:val="00233CEF"/>
    <w:rsid w:val="00233FD0"/>
    <w:rsid w:val="002352B0"/>
    <w:rsid w:val="002354E4"/>
    <w:rsid w:val="00240493"/>
    <w:rsid w:val="002443FF"/>
    <w:rsid w:val="002464E8"/>
    <w:rsid w:val="00253776"/>
    <w:rsid w:val="002543D4"/>
    <w:rsid w:val="00255417"/>
    <w:rsid w:val="00257989"/>
    <w:rsid w:val="00260517"/>
    <w:rsid w:val="00262FED"/>
    <w:rsid w:val="00267328"/>
    <w:rsid w:val="00274963"/>
    <w:rsid w:val="002817CE"/>
    <w:rsid w:val="00283AA6"/>
    <w:rsid w:val="0028432C"/>
    <w:rsid w:val="002857E2"/>
    <w:rsid w:val="002870A9"/>
    <w:rsid w:val="002879AD"/>
    <w:rsid w:val="00290ABD"/>
    <w:rsid w:val="002953B3"/>
    <w:rsid w:val="002A0B4A"/>
    <w:rsid w:val="002A34C1"/>
    <w:rsid w:val="002A36AB"/>
    <w:rsid w:val="002A5C43"/>
    <w:rsid w:val="002A729E"/>
    <w:rsid w:val="002A7FB5"/>
    <w:rsid w:val="002B35F2"/>
    <w:rsid w:val="002B6125"/>
    <w:rsid w:val="002C57E5"/>
    <w:rsid w:val="002C7704"/>
    <w:rsid w:val="002D206A"/>
    <w:rsid w:val="002D358E"/>
    <w:rsid w:val="002D65B3"/>
    <w:rsid w:val="002D7D6B"/>
    <w:rsid w:val="002E4E8A"/>
    <w:rsid w:val="002F52A9"/>
    <w:rsid w:val="00301D68"/>
    <w:rsid w:val="003031DA"/>
    <w:rsid w:val="00311C3C"/>
    <w:rsid w:val="00312651"/>
    <w:rsid w:val="00313634"/>
    <w:rsid w:val="00317988"/>
    <w:rsid w:val="00322F05"/>
    <w:rsid w:val="00323D6C"/>
    <w:rsid w:val="00324F79"/>
    <w:rsid w:val="00325D89"/>
    <w:rsid w:val="00327401"/>
    <w:rsid w:val="003346EB"/>
    <w:rsid w:val="00335933"/>
    <w:rsid w:val="003370E4"/>
    <w:rsid w:val="003413B2"/>
    <w:rsid w:val="003437BD"/>
    <w:rsid w:val="00343D67"/>
    <w:rsid w:val="00344130"/>
    <w:rsid w:val="003478CF"/>
    <w:rsid w:val="00350E98"/>
    <w:rsid w:val="00350FC8"/>
    <w:rsid w:val="003520AD"/>
    <w:rsid w:val="0035377D"/>
    <w:rsid w:val="00356733"/>
    <w:rsid w:val="00360AA1"/>
    <w:rsid w:val="00364E6F"/>
    <w:rsid w:val="0036500A"/>
    <w:rsid w:val="00365462"/>
    <w:rsid w:val="003675BD"/>
    <w:rsid w:val="00374532"/>
    <w:rsid w:val="00374868"/>
    <w:rsid w:val="00375DF4"/>
    <w:rsid w:val="00376313"/>
    <w:rsid w:val="00383004"/>
    <w:rsid w:val="003830CE"/>
    <w:rsid w:val="00385E2D"/>
    <w:rsid w:val="0039262E"/>
    <w:rsid w:val="003937F3"/>
    <w:rsid w:val="003A15D6"/>
    <w:rsid w:val="003A5145"/>
    <w:rsid w:val="003B2445"/>
    <w:rsid w:val="003B7E9A"/>
    <w:rsid w:val="003B7F05"/>
    <w:rsid w:val="003C23CC"/>
    <w:rsid w:val="003C3A1E"/>
    <w:rsid w:val="003C505B"/>
    <w:rsid w:val="003C71CF"/>
    <w:rsid w:val="003C789D"/>
    <w:rsid w:val="003C7EC4"/>
    <w:rsid w:val="003D4A56"/>
    <w:rsid w:val="003D52FD"/>
    <w:rsid w:val="003D5827"/>
    <w:rsid w:val="003D7B2C"/>
    <w:rsid w:val="003E1917"/>
    <w:rsid w:val="003E259A"/>
    <w:rsid w:val="003E5211"/>
    <w:rsid w:val="003F31D2"/>
    <w:rsid w:val="003F3716"/>
    <w:rsid w:val="003F3DC0"/>
    <w:rsid w:val="003F4845"/>
    <w:rsid w:val="003F4DBE"/>
    <w:rsid w:val="003F557E"/>
    <w:rsid w:val="003F6191"/>
    <w:rsid w:val="003F7CC5"/>
    <w:rsid w:val="00400D68"/>
    <w:rsid w:val="00401A63"/>
    <w:rsid w:val="004030AC"/>
    <w:rsid w:val="004067AD"/>
    <w:rsid w:val="00407EE0"/>
    <w:rsid w:val="00414806"/>
    <w:rsid w:val="00424B78"/>
    <w:rsid w:val="004335E8"/>
    <w:rsid w:val="00436A3E"/>
    <w:rsid w:val="00440D78"/>
    <w:rsid w:val="00441A2A"/>
    <w:rsid w:val="004420F6"/>
    <w:rsid w:val="0044359A"/>
    <w:rsid w:val="00444F65"/>
    <w:rsid w:val="004476C6"/>
    <w:rsid w:val="00450AFF"/>
    <w:rsid w:val="0045130C"/>
    <w:rsid w:val="00453578"/>
    <w:rsid w:val="00454A58"/>
    <w:rsid w:val="00455214"/>
    <w:rsid w:val="00456D5A"/>
    <w:rsid w:val="0046133D"/>
    <w:rsid w:val="00464B6E"/>
    <w:rsid w:val="00472C9B"/>
    <w:rsid w:val="00473A5E"/>
    <w:rsid w:val="004758A9"/>
    <w:rsid w:val="00476273"/>
    <w:rsid w:val="00477399"/>
    <w:rsid w:val="0048020B"/>
    <w:rsid w:val="004864DA"/>
    <w:rsid w:val="00486CC7"/>
    <w:rsid w:val="004872BC"/>
    <w:rsid w:val="004874A4"/>
    <w:rsid w:val="00491055"/>
    <w:rsid w:val="00494355"/>
    <w:rsid w:val="00494945"/>
    <w:rsid w:val="00495E07"/>
    <w:rsid w:val="00496A4C"/>
    <w:rsid w:val="004970AA"/>
    <w:rsid w:val="00497F70"/>
    <w:rsid w:val="004A03E5"/>
    <w:rsid w:val="004A503D"/>
    <w:rsid w:val="004B141F"/>
    <w:rsid w:val="004B4A8D"/>
    <w:rsid w:val="004C0E28"/>
    <w:rsid w:val="004C190E"/>
    <w:rsid w:val="004C3320"/>
    <w:rsid w:val="004C456B"/>
    <w:rsid w:val="004C4D5F"/>
    <w:rsid w:val="004D35E8"/>
    <w:rsid w:val="004D614C"/>
    <w:rsid w:val="004E1DAE"/>
    <w:rsid w:val="004E25A6"/>
    <w:rsid w:val="004E64FA"/>
    <w:rsid w:val="004F6475"/>
    <w:rsid w:val="0050001C"/>
    <w:rsid w:val="005016DE"/>
    <w:rsid w:val="00513E14"/>
    <w:rsid w:val="005154C1"/>
    <w:rsid w:val="005162AB"/>
    <w:rsid w:val="00517761"/>
    <w:rsid w:val="00521122"/>
    <w:rsid w:val="0052351B"/>
    <w:rsid w:val="0053260D"/>
    <w:rsid w:val="00541146"/>
    <w:rsid w:val="00542814"/>
    <w:rsid w:val="00545CC2"/>
    <w:rsid w:val="00546238"/>
    <w:rsid w:val="00547D3F"/>
    <w:rsid w:val="00552271"/>
    <w:rsid w:val="00552A11"/>
    <w:rsid w:val="005577D9"/>
    <w:rsid w:val="00561DA8"/>
    <w:rsid w:val="00562CB2"/>
    <w:rsid w:val="00564327"/>
    <w:rsid w:val="005664C8"/>
    <w:rsid w:val="00571D6D"/>
    <w:rsid w:val="00572F46"/>
    <w:rsid w:val="00574A02"/>
    <w:rsid w:val="00576A54"/>
    <w:rsid w:val="00577DC6"/>
    <w:rsid w:val="005816F4"/>
    <w:rsid w:val="00581BDF"/>
    <w:rsid w:val="00585174"/>
    <w:rsid w:val="0059038C"/>
    <w:rsid w:val="005921E2"/>
    <w:rsid w:val="00594E87"/>
    <w:rsid w:val="005950E5"/>
    <w:rsid w:val="00597309"/>
    <w:rsid w:val="005A4CD3"/>
    <w:rsid w:val="005A6F7C"/>
    <w:rsid w:val="005B132F"/>
    <w:rsid w:val="005B18B2"/>
    <w:rsid w:val="005B40A6"/>
    <w:rsid w:val="005C0180"/>
    <w:rsid w:val="005C01B7"/>
    <w:rsid w:val="005D2A79"/>
    <w:rsid w:val="005D3004"/>
    <w:rsid w:val="005D3D39"/>
    <w:rsid w:val="005D787E"/>
    <w:rsid w:val="005D7C39"/>
    <w:rsid w:val="005E13DF"/>
    <w:rsid w:val="005E1EDC"/>
    <w:rsid w:val="005E387D"/>
    <w:rsid w:val="005E3B75"/>
    <w:rsid w:val="005E3D15"/>
    <w:rsid w:val="005E4C65"/>
    <w:rsid w:val="005F0042"/>
    <w:rsid w:val="005F2946"/>
    <w:rsid w:val="005F34C6"/>
    <w:rsid w:val="005F4318"/>
    <w:rsid w:val="005F4F8E"/>
    <w:rsid w:val="005F54A4"/>
    <w:rsid w:val="005F71D1"/>
    <w:rsid w:val="0060035F"/>
    <w:rsid w:val="00607205"/>
    <w:rsid w:val="00607413"/>
    <w:rsid w:val="006074E4"/>
    <w:rsid w:val="006112D1"/>
    <w:rsid w:val="006112FA"/>
    <w:rsid w:val="006177F8"/>
    <w:rsid w:val="00620205"/>
    <w:rsid w:val="00622D42"/>
    <w:rsid w:val="00622F63"/>
    <w:rsid w:val="00623402"/>
    <w:rsid w:val="00624B34"/>
    <w:rsid w:val="00625B93"/>
    <w:rsid w:val="00633563"/>
    <w:rsid w:val="00636271"/>
    <w:rsid w:val="0063683C"/>
    <w:rsid w:val="00636ABB"/>
    <w:rsid w:val="00643C5A"/>
    <w:rsid w:val="00643F7E"/>
    <w:rsid w:val="006502FA"/>
    <w:rsid w:val="00651648"/>
    <w:rsid w:val="00653D8D"/>
    <w:rsid w:val="00655A79"/>
    <w:rsid w:val="00667B22"/>
    <w:rsid w:val="006710C1"/>
    <w:rsid w:val="0067304E"/>
    <w:rsid w:val="006745E5"/>
    <w:rsid w:val="00677A0E"/>
    <w:rsid w:val="00681181"/>
    <w:rsid w:val="00682099"/>
    <w:rsid w:val="00685A22"/>
    <w:rsid w:val="00694F3D"/>
    <w:rsid w:val="006A18B6"/>
    <w:rsid w:val="006A1EDC"/>
    <w:rsid w:val="006A5B0F"/>
    <w:rsid w:val="006A5ED6"/>
    <w:rsid w:val="006A5FF3"/>
    <w:rsid w:val="006B20EE"/>
    <w:rsid w:val="006B4826"/>
    <w:rsid w:val="006B5B8D"/>
    <w:rsid w:val="006C1614"/>
    <w:rsid w:val="006C1D8C"/>
    <w:rsid w:val="006C51D5"/>
    <w:rsid w:val="006C5271"/>
    <w:rsid w:val="006D1E49"/>
    <w:rsid w:val="006D432E"/>
    <w:rsid w:val="006D46AD"/>
    <w:rsid w:val="006D5B0E"/>
    <w:rsid w:val="006E3671"/>
    <w:rsid w:val="006E4894"/>
    <w:rsid w:val="006E6044"/>
    <w:rsid w:val="006F0AFA"/>
    <w:rsid w:val="006F1B52"/>
    <w:rsid w:val="006F27A6"/>
    <w:rsid w:val="006F329B"/>
    <w:rsid w:val="006F42DE"/>
    <w:rsid w:val="00705B33"/>
    <w:rsid w:val="0070615E"/>
    <w:rsid w:val="00706C4B"/>
    <w:rsid w:val="00710A58"/>
    <w:rsid w:val="00711008"/>
    <w:rsid w:val="007116AC"/>
    <w:rsid w:val="007124A2"/>
    <w:rsid w:val="007133ED"/>
    <w:rsid w:val="00715CA2"/>
    <w:rsid w:val="007230D6"/>
    <w:rsid w:val="00723E4B"/>
    <w:rsid w:val="00724553"/>
    <w:rsid w:val="0072563F"/>
    <w:rsid w:val="00732CFA"/>
    <w:rsid w:val="00732E2C"/>
    <w:rsid w:val="00733398"/>
    <w:rsid w:val="00734468"/>
    <w:rsid w:val="00735ECF"/>
    <w:rsid w:val="007368A2"/>
    <w:rsid w:val="00736DE9"/>
    <w:rsid w:val="007411F8"/>
    <w:rsid w:val="00742439"/>
    <w:rsid w:val="00743A10"/>
    <w:rsid w:val="007465A9"/>
    <w:rsid w:val="00754A0D"/>
    <w:rsid w:val="007552C1"/>
    <w:rsid w:val="007562E2"/>
    <w:rsid w:val="007577C2"/>
    <w:rsid w:val="00760A9F"/>
    <w:rsid w:val="00762F2B"/>
    <w:rsid w:val="0076328E"/>
    <w:rsid w:val="00765356"/>
    <w:rsid w:val="0076561E"/>
    <w:rsid w:val="007661B0"/>
    <w:rsid w:val="007709B6"/>
    <w:rsid w:val="00773353"/>
    <w:rsid w:val="00780A45"/>
    <w:rsid w:val="00783842"/>
    <w:rsid w:val="007876E3"/>
    <w:rsid w:val="007928AD"/>
    <w:rsid w:val="00794724"/>
    <w:rsid w:val="007A0174"/>
    <w:rsid w:val="007A0BB2"/>
    <w:rsid w:val="007A5131"/>
    <w:rsid w:val="007B1FC6"/>
    <w:rsid w:val="007B4019"/>
    <w:rsid w:val="007B66A0"/>
    <w:rsid w:val="007B6E4E"/>
    <w:rsid w:val="007B71E9"/>
    <w:rsid w:val="007C1702"/>
    <w:rsid w:val="007C41D1"/>
    <w:rsid w:val="007C43BC"/>
    <w:rsid w:val="007C48C7"/>
    <w:rsid w:val="007C69D6"/>
    <w:rsid w:val="007D15D0"/>
    <w:rsid w:val="007D2CEB"/>
    <w:rsid w:val="007D3591"/>
    <w:rsid w:val="007D6683"/>
    <w:rsid w:val="007E3461"/>
    <w:rsid w:val="007E6167"/>
    <w:rsid w:val="007E74C5"/>
    <w:rsid w:val="007E7ABD"/>
    <w:rsid w:val="007F09C1"/>
    <w:rsid w:val="007F0E34"/>
    <w:rsid w:val="007F32C6"/>
    <w:rsid w:val="007F6368"/>
    <w:rsid w:val="007F7B7F"/>
    <w:rsid w:val="008009EE"/>
    <w:rsid w:val="008043DE"/>
    <w:rsid w:val="0080498D"/>
    <w:rsid w:val="0080606A"/>
    <w:rsid w:val="008065F0"/>
    <w:rsid w:val="00807C2F"/>
    <w:rsid w:val="008129C6"/>
    <w:rsid w:val="00812E0A"/>
    <w:rsid w:val="0081352B"/>
    <w:rsid w:val="00814514"/>
    <w:rsid w:val="008237E2"/>
    <w:rsid w:val="008255E4"/>
    <w:rsid w:val="00825F00"/>
    <w:rsid w:val="00827BAD"/>
    <w:rsid w:val="00830639"/>
    <w:rsid w:val="008309C9"/>
    <w:rsid w:val="00830BC7"/>
    <w:rsid w:val="00833361"/>
    <w:rsid w:val="008335E3"/>
    <w:rsid w:val="00834DCB"/>
    <w:rsid w:val="00836673"/>
    <w:rsid w:val="00840C01"/>
    <w:rsid w:val="00840C42"/>
    <w:rsid w:val="0084167C"/>
    <w:rsid w:val="00844F10"/>
    <w:rsid w:val="00845186"/>
    <w:rsid w:val="00845BBC"/>
    <w:rsid w:val="008475F8"/>
    <w:rsid w:val="00847F2B"/>
    <w:rsid w:val="00850048"/>
    <w:rsid w:val="008513D8"/>
    <w:rsid w:val="00852C25"/>
    <w:rsid w:val="00854A43"/>
    <w:rsid w:val="00855D43"/>
    <w:rsid w:val="008561D7"/>
    <w:rsid w:val="00860B22"/>
    <w:rsid w:val="00861074"/>
    <w:rsid w:val="008636FC"/>
    <w:rsid w:val="00863DB6"/>
    <w:rsid w:val="00871164"/>
    <w:rsid w:val="00873BC6"/>
    <w:rsid w:val="00874FB1"/>
    <w:rsid w:val="008771F4"/>
    <w:rsid w:val="00880902"/>
    <w:rsid w:val="00881E3C"/>
    <w:rsid w:val="00883B7D"/>
    <w:rsid w:val="0088740E"/>
    <w:rsid w:val="00892A4E"/>
    <w:rsid w:val="00894A27"/>
    <w:rsid w:val="00896A4C"/>
    <w:rsid w:val="00896EBA"/>
    <w:rsid w:val="0089797F"/>
    <w:rsid w:val="008A0497"/>
    <w:rsid w:val="008A23C9"/>
    <w:rsid w:val="008A39F8"/>
    <w:rsid w:val="008A4EBC"/>
    <w:rsid w:val="008A5D5F"/>
    <w:rsid w:val="008A6D84"/>
    <w:rsid w:val="008B081B"/>
    <w:rsid w:val="008B0B3A"/>
    <w:rsid w:val="008B32A9"/>
    <w:rsid w:val="008C0083"/>
    <w:rsid w:val="008C2EDB"/>
    <w:rsid w:val="008C6352"/>
    <w:rsid w:val="008C6C9A"/>
    <w:rsid w:val="008C701E"/>
    <w:rsid w:val="008C727C"/>
    <w:rsid w:val="008C7A5E"/>
    <w:rsid w:val="008D1647"/>
    <w:rsid w:val="008D1B64"/>
    <w:rsid w:val="008D4162"/>
    <w:rsid w:val="008D4E54"/>
    <w:rsid w:val="008E39D4"/>
    <w:rsid w:val="008E51AF"/>
    <w:rsid w:val="008E548A"/>
    <w:rsid w:val="008E74A2"/>
    <w:rsid w:val="008F4B82"/>
    <w:rsid w:val="008F5811"/>
    <w:rsid w:val="00903AC3"/>
    <w:rsid w:val="0090412E"/>
    <w:rsid w:val="00904536"/>
    <w:rsid w:val="0090478A"/>
    <w:rsid w:val="00906907"/>
    <w:rsid w:val="009102A7"/>
    <w:rsid w:val="00911D86"/>
    <w:rsid w:val="009144B5"/>
    <w:rsid w:val="009146F6"/>
    <w:rsid w:val="00915863"/>
    <w:rsid w:val="00916ED7"/>
    <w:rsid w:val="009268C1"/>
    <w:rsid w:val="00926E69"/>
    <w:rsid w:val="00930EF7"/>
    <w:rsid w:val="009315F9"/>
    <w:rsid w:val="009317B8"/>
    <w:rsid w:val="009360D6"/>
    <w:rsid w:val="00936510"/>
    <w:rsid w:val="00936D24"/>
    <w:rsid w:val="00941336"/>
    <w:rsid w:val="00942A9F"/>
    <w:rsid w:val="00945E92"/>
    <w:rsid w:val="009466EE"/>
    <w:rsid w:val="009506C7"/>
    <w:rsid w:val="00954A80"/>
    <w:rsid w:val="009575E1"/>
    <w:rsid w:val="00960BC7"/>
    <w:rsid w:val="00962129"/>
    <w:rsid w:val="009632C9"/>
    <w:rsid w:val="00963E8A"/>
    <w:rsid w:val="00964625"/>
    <w:rsid w:val="009667EE"/>
    <w:rsid w:val="0097316B"/>
    <w:rsid w:val="0097354A"/>
    <w:rsid w:val="00974FAA"/>
    <w:rsid w:val="00975E9A"/>
    <w:rsid w:val="00977184"/>
    <w:rsid w:val="0097718F"/>
    <w:rsid w:val="009802C9"/>
    <w:rsid w:val="00981C79"/>
    <w:rsid w:val="00985ABF"/>
    <w:rsid w:val="00991685"/>
    <w:rsid w:val="009927FA"/>
    <w:rsid w:val="009967CD"/>
    <w:rsid w:val="009967F2"/>
    <w:rsid w:val="00997790"/>
    <w:rsid w:val="009A66D0"/>
    <w:rsid w:val="009B01FC"/>
    <w:rsid w:val="009B1BFE"/>
    <w:rsid w:val="009B7367"/>
    <w:rsid w:val="009D2B58"/>
    <w:rsid w:val="009D3F76"/>
    <w:rsid w:val="009E0EA2"/>
    <w:rsid w:val="009E1DDC"/>
    <w:rsid w:val="009E214D"/>
    <w:rsid w:val="009E28EC"/>
    <w:rsid w:val="009E3611"/>
    <w:rsid w:val="009E3E6F"/>
    <w:rsid w:val="009E4841"/>
    <w:rsid w:val="009E7983"/>
    <w:rsid w:val="009F2E31"/>
    <w:rsid w:val="009F3F1F"/>
    <w:rsid w:val="009F4330"/>
    <w:rsid w:val="009F4FB3"/>
    <w:rsid w:val="009F71D1"/>
    <w:rsid w:val="00A00DD6"/>
    <w:rsid w:val="00A017BA"/>
    <w:rsid w:val="00A01EFD"/>
    <w:rsid w:val="00A026DF"/>
    <w:rsid w:val="00A03A5F"/>
    <w:rsid w:val="00A04100"/>
    <w:rsid w:val="00A06075"/>
    <w:rsid w:val="00A06657"/>
    <w:rsid w:val="00A066DE"/>
    <w:rsid w:val="00A06721"/>
    <w:rsid w:val="00A075C8"/>
    <w:rsid w:val="00A10B65"/>
    <w:rsid w:val="00A141E5"/>
    <w:rsid w:val="00A15581"/>
    <w:rsid w:val="00A1593F"/>
    <w:rsid w:val="00A15B57"/>
    <w:rsid w:val="00A21F92"/>
    <w:rsid w:val="00A2536F"/>
    <w:rsid w:val="00A263F4"/>
    <w:rsid w:val="00A26AF6"/>
    <w:rsid w:val="00A30DB3"/>
    <w:rsid w:val="00A344A6"/>
    <w:rsid w:val="00A3607C"/>
    <w:rsid w:val="00A403E9"/>
    <w:rsid w:val="00A406DC"/>
    <w:rsid w:val="00A41119"/>
    <w:rsid w:val="00A4347E"/>
    <w:rsid w:val="00A4381E"/>
    <w:rsid w:val="00A44698"/>
    <w:rsid w:val="00A45092"/>
    <w:rsid w:val="00A453D1"/>
    <w:rsid w:val="00A4630E"/>
    <w:rsid w:val="00A47DE3"/>
    <w:rsid w:val="00A5227A"/>
    <w:rsid w:val="00A55A52"/>
    <w:rsid w:val="00A55DE0"/>
    <w:rsid w:val="00A57D42"/>
    <w:rsid w:val="00A60BBB"/>
    <w:rsid w:val="00A60C83"/>
    <w:rsid w:val="00A63A99"/>
    <w:rsid w:val="00A65F1E"/>
    <w:rsid w:val="00A739AD"/>
    <w:rsid w:val="00A75468"/>
    <w:rsid w:val="00A80964"/>
    <w:rsid w:val="00A83111"/>
    <w:rsid w:val="00A84047"/>
    <w:rsid w:val="00A855AA"/>
    <w:rsid w:val="00A85982"/>
    <w:rsid w:val="00A934C1"/>
    <w:rsid w:val="00A972FF"/>
    <w:rsid w:val="00AA0AD2"/>
    <w:rsid w:val="00AA22FC"/>
    <w:rsid w:val="00AB0683"/>
    <w:rsid w:val="00AB179B"/>
    <w:rsid w:val="00AB197C"/>
    <w:rsid w:val="00AB199E"/>
    <w:rsid w:val="00AB2DA9"/>
    <w:rsid w:val="00AB5052"/>
    <w:rsid w:val="00AB5560"/>
    <w:rsid w:val="00AC2240"/>
    <w:rsid w:val="00AC58FC"/>
    <w:rsid w:val="00AD48BE"/>
    <w:rsid w:val="00AD5E69"/>
    <w:rsid w:val="00AD7AA1"/>
    <w:rsid w:val="00AE4450"/>
    <w:rsid w:val="00AE7B86"/>
    <w:rsid w:val="00AF2305"/>
    <w:rsid w:val="00AF2A93"/>
    <w:rsid w:val="00AF46AA"/>
    <w:rsid w:val="00AF4E97"/>
    <w:rsid w:val="00AF5D98"/>
    <w:rsid w:val="00AF7307"/>
    <w:rsid w:val="00B03A57"/>
    <w:rsid w:val="00B044C6"/>
    <w:rsid w:val="00B11FF2"/>
    <w:rsid w:val="00B12939"/>
    <w:rsid w:val="00B21A6A"/>
    <w:rsid w:val="00B2222C"/>
    <w:rsid w:val="00B26221"/>
    <w:rsid w:val="00B27A34"/>
    <w:rsid w:val="00B34F63"/>
    <w:rsid w:val="00B35670"/>
    <w:rsid w:val="00B4012B"/>
    <w:rsid w:val="00B40EDB"/>
    <w:rsid w:val="00B43126"/>
    <w:rsid w:val="00B447CB"/>
    <w:rsid w:val="00B51454"/>
    <w:rsid w:val="00B51D60"/>
    <w:rsid w:val="00B5275C"/>
    <w:rsid w:val="00B53A21"/>
    <w:rsid w:val="00B53B49"/>
    <w:rsid w:val="00B548FA"/>
    <w:rsid w:val="00B54A0A"/>
    <w:rsid w:val="00B56FF3"/>
    <w:rsid w:val="00B57AFD"/>
    <w:rsid w:val="00B57EA9"/>
    <w:rsid w:val="00B641F8"/>
    <w:rsid w:val="00B64399"/>
    <w:rsid w:val="00B669F5"/>
    <w:rsid w:val="00B7228A"/>
    <w:rsid w:val="00B74A05"/>
    <w:rsid w:val="00B7662E"/>
    <w:rsid w:val="00B82086"/>
    <w:rsid w:val="00B91263"/>
    <w:rsid w:val="00B927E5"/>
    <w:rsid w:val="00B975F3"/>
    <w:rsid w:val="00BA1E11"/>
    <w:rsid w:val="00BB69A5"/>
    <w:rsid w:val="00BC0EFB"/>
    <w:rsid w:val="00BC21EE"/>
    <w:rsid w:val="00BC222D"/>
    <w:rsid w:val="00BC65D8"/>
    <w:rsid w:val="00BD1415"/>
    <w:rsid w:val="00BD316B"/>
    <w:rsid w:val="00BD4653"/>
    <w:rsid w:val="00BD5436"/>
    <w:rsid w:val="00BD560B"/>
    <w:rsid w:val="00BD6475"/>
    <w:rsid w:val="00BE2499"/>
    <w:rsid w:val="00BE4690"/>
    <w:rsid w:val="00BE6721"/>
    <w:rsid w:val="00BF0271"/>
    <w:rsid w:val="00BF06DD"/>
    <w:rsid w:val="00BF12C4"/>
    <w:rsid w:val="00BF2C0E"/>
    <w:rsid w:val="00BF5E81"/>
    <w:rsid w:val="00BF65CA"/>
    <w:rsid w:val="00C01123"/>
    <w:rsid w:val="00C1110D"/>
    <w:rsid w:val="00C127B1"/>
    <w:rsid w:val="00C134B7"/>
    <w:rsid w:val="00C15E87"/>
    <w:rsid w:val="00C175D0"/>
    <w:rsid w:val="00C2096B"/>
    <w:rsid w:val="00C21A8D"/>
    <w:rsid w:val="00C21E2C"/>
    <w:rsid w:val="00C22D8B"/>
    <w:rsid w:val="00C24DB0"/>
    <w:rsid w:val="00C25952"/>
    <w:rsid w:val="00C26B1C"/>
    <w:rsid w:val="00C274AA"/>
    <w:rsid w:val="00C339E0"/>
    <w:rsid w:val="00C3426D"/>
    <w:rsid w:val="00C41E21"/>
    <w:rsid w:val="00C44ADA"/>
    <w:rsid w:val="00C46060"/>
    <w:rsid w:val="00C50711"/>
    <w:rsid w:val="00C523C6"/>
    <w:rsid w:val="00C525BA"/>
    <w:rsid w:val="00C53065"/>
    <w:rsid w:val="00C54204"/>
    <w:rsid w:val="00C555F7"/>
    <w:rsid w:val="00C56446"/>
    <w:rsid w:val="00C60863"/>
    <w:rsid w:val="00C6285D"/>
    <w:rsid w:val="00C639E3"/>
    <w:rsid w:val="00C70563"/>
    <w:rsid w:val="00C71292"/>
    <w:rsid w:val="00C71484"/>
    <w:rsid w:val="00C716CA"/>
    <w:rsid w:val="00C735A7"/>
    <w:rsid w:val="00C76FAC"/>
    <w:rsid w:val="00C82362"/>
    <w:rsid w:val="00C84498"/>
    <w:rsid w:val="00C8566F"/>
    <w:rsid w:val="00C8638C"/>
    <w:rsid w:val="00C87C43"/>
    <w:rsid w:val="00C979D0"/>
    <w:rsid w:val="00CA1383"/>
    <w:rsid w:val="00CA410E"/>
    <w:rsid w:val="00CA447E"/>
    <w:rsid w:val="00CA6AE5"/>
    <w:rsid w:val="00CB08EE"/>
    <w:rsid w:val="00CB0CDF"/>
    <w:rsid w:val="00CB0FE7"/>
    <w:rsid w:val="00CB528D"/>
    <w:rsid w:val="00CB7321"/>
    <w:rsid w:val="00CB7E0A"/>
    <w:rsid w:val="00CC2F4B"/>
    <w:rsid w:val="00CC421B"/>
    <w:rsid w:val="00CD1BC6"/>
    <w:rsid w:val="00CE10BD"/>
    <w:rsid w:val="00CE1F17"/>
    <w:rsid w:val="00CE7F13"/>
    <w:rsid w:val="00CF3FB2"/>
    <w:rsid w:val="00D004BE"/>
    <w:rsid w:val="00D00DBC"/>
    <w:rsid w:val="00D01402"/>
    <w:rsid w:val="00D03586"/>
    <w:rsid w:val="00D05726"/>
    <w:rsid w:val="00D075C6"/>
    <w:rsid w:val="00D106A5"/>
    <w:rsid w:val="00D14FB9"/>
    <w:rsid w:val="00D213E9"/>
    <w:rsid w:val="00D23386"/>
    <w:rsid w:val="00D30E72"/>
    <w:rsid w:val="00D3454C"/>
    <w:rsid w:val="00D37F45"/>
    <w:rsid w:val="00D4105E"/>
    <w:rsid w:val="00D42E24"/>
    <w:rsid w:val="00D4405D"/>
    <w:rsid w:val="00D46107"/>
    <w:rsid w:val="00D462B5"/>
    <w:rsid w:val="00D50854"/>
    <w:rsid w:val="00D50899"/>
    <w:rsid w:val="00D54158"/>
    <w:rsid w:val="00D60DAA"/>
    <w:rsid w:val="00D63D53"/>
    <w:rsid w:val="00D72181"/>
    <w:rsid w:val="00D7396F"/>
    <w:rsid w:val="00D76A33"/>
    <w:rsid w:val="00D81AF1"/>
    <w:rsid w:val="00D843D7"/>
    <w:rsid w:val="00D84E4B"/>
    <w:rsid w:val="00D90345"/>
    <w:rsid w:val="00D92A4E"/>
    <w:rsid w:val="00D97D5E"/>
    <w:rsid w:val="00DA1B48"/>
    <w:rsid w:val="00DA4017"/>
    <w:rsid w:val="00DA5B94"/>
    <w:rsid w:val="00DA72DC"/>
    <w:rsid w:val="00DB16ED"/>
    <w:rsid w:val="00DB5C76"/>
    <w:rsid w:val="00DC0159"/>
    <w:rsid w:val="00DC0500"/>
    <w:rsid w:val="00DC36FD"/>
    <w:rsid w:val="00DC5090"/>
    <w:rsid w:val="00DD1675"/>
    <w:rsid w:val="00DD1854"/>
    <w:rsid w:val="00DD2B27"/>
    <w:rsid w:val="00DD3571"/>
    <w:rsid w:val="00DD6D90"/>
    <w:rsid w:val="00DD776A"/>
    <w:rsid w:val="00DE261E"/>
    <w:rsid w:val="00DE7144"/>
    <w:rsid w:val="00DF1041"/>
    <w:rsid w:val="00DF3569"/>
    <w:rsid w:val="00E06FD1"/>
    <w:rsid w:val="00E1655A"/>
    <w:rsid w:val="00E216A6"/>
    <w:rsid w:val="00E2749E"/>
    <w:rsid w:val="00E31479"/>
    <w:rsid w:val="00E332F7"/>
    <w:rsid w:val="00E35B18"/>
    <w:rsid w:val="00E36F79"/>
    <w:rsid w:val="00E374E0"/>
    <w:rsid w:val="00E47430"/>
    <w:rsid w:val="00E4775F"/>
    <w:rsid w:val="00E50484"/>
    <w:rsid w:val="00E523F8"/>
    <w:rsid w:val="00E64696"/>
    <w:rsid w:val="00E80F36"/>
    <w:rsid w:val="00E814AC"/>
    <w:rsid w:val="00E81C52"/>
    <w:rsid w:val="00E82A7A"/>
    <w:rsid w:val="00E84712"/>
    <w:rsid w:val="00E87F29"/>
    <w:rsid w:val="00E917E1"/>
    <w:rsid w:val="00E9253B"/>
    <w:rsid w:val="00E92C22"/>
    <w:rsid w:val="00E92F00"/>
    <w:rsid w:val="00E9685F"/>
    <w:rsid w:val="00E9758C"/>
    <w:rsid w:val="00E97592"/>
    <w:rsid w:val="00EA2A81"/>
    <w:rsid w:val="00EA35D6"/>
    <w:rsid w:val="00EA370B"/>
    <w:rsid w:val="00EA7477"/>
    <w:rsid w:val="00EA77F3"/>
    <w:rsid w:val="00EB00E9"/>
    <w:rsid w:val="00EB5D6A"/>
    <w:rsid w:val="00EC0C7F"/>
    <w:rsid w:val="00EC2E75"/>
    <w:rsid w:val="00EC3F55"/>
    <w:rsid w:val="00EC5D8C"/>
    <w:rsid w:val="00ED0125"/>
    <w:rsid w:val="00EE30AD"/>
    <w:rsid w:val="00EE42E7"/>
    <w:rsid w:val="00EE79C9"/>
    <w:rsid w:val="00EF6E86"/>
    <w:rsid w:val="00F0000F"/>
    <w:rsid w:val="00F00AF7"/>
    <w:rsid w:val="00F01066"/>
    <w:rsid w:val="00F033E6"/>
    <w:rsid w:val="00F05F9A"/>
    <w:rsid w:val="00F07694"/>
    <w:rsid w:val="00F07BDD"/>
    <w:rsid w:val="00F12D19"/>
    <w:rsid w:val="00F1412A"/>
    <w:rsid w:val="00F1588F"/>
    <w:rsid w:val="00F1674B"/>
    <w:rsid w:val="00F171EE"/>
    <w:rsid w:val="00F2102C"/>
    <w:rsid w:val="00F3385A"/>
    <w:rsid w:val="00F36E4A"/>
    <w:rsid w:val="00F42328"/>
    <w:rsid w:val="00F42671"/>
    <w:rsid w:val="00F508EC"/>
    <w:rsid w:val="00F50CB0"/>
    <w:rsid w:val="00F53C57"/>
    <w:rsid w:val="00F54232"/>
    <w:rsid w:val="00F54657"/>
    <w:rsid w:val="00F56DC0"/>
    <w:rsid w:val="00F60452"/>
    <w:rsid w:val="00F612C8"/>
    <w:rsid w:val="00F61DE6"/>
    <w:rsid w:val="00F66FE7"/>
    <w:rsid w:val="00F7000C"/>
    <w:rsid w:val="00F71008"/>
    <w:rsid w:val="00F75823"/>
    <w:rsid w:val="00F81978"/>
    <w:rsid w:val="00F84A29"/>
    <w:rsid w:val="00F913C1"/>
    <w:rsid w:val="00F92487"/>
    <w:rsid w:val="00F957BF"/>
    <w:rsid w:val="00F968C4"/>
    <w:rsid w:val="00FA72A2"/>
    <w:rsid w:val="00FB48D4"/>
    <w:rsid w:val="00FB65C9"/>
    <w:rsid w:val="00FC0871"/>
    <w:rsid w:val="00FC0EAE"/>
    <w:rsid w:val="00FC13CF"/>
    <w:rsid w:val="00FC2012"/>
    <w:rsid w:val="00FC27B2"/>
    <w:rsid w:val="00FC2F40"/>
    <w:rsid w:val="00FC434F"/>
    <w:rsid w:val="00FC73E8"/>
    <w:rsid w:val="00FD3D3B"/>
    <w:rsid w:val="00FD4046"/>
    <w:rsid w:val="00FE4E10"/>
    <w:rsid w:val="00FE519C"/>
    <w:rsid w:val="00FE57C2"/>
    <w:rsid w:val="00FE69B7"/>
    <w:rsid w:val="00FF41BA"/>
    <w:rsid w:val="00FF4E89"/>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9BBC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5D6A"/>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qFormat/>
    <w:rsid w:val="00A06075"/>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nhideWhenUsed/>
    <w:qFormat/>
    <w:rsid w:val="00A06075"/>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nhideWhenUsed/>
    <w:qFormat/>
    <w:rsid w:val="00A06075"/>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nhideWhenUsed/>
    <w:qFormat/>
    <w:rsid w:val="00A06075"/>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A06075"/>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semiHidden/>
    <w:unhideWhenUsed/>
    <w:qFormat/>
    <w:rsid w:val="00A06075"/>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semiHidden/>
    <w:unhideWhenUsed/>
    <w:qFormat/>
    <w:rsid w:val="00A06075"/>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A06075"/>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A06075"/>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tabs>
        <w:tab w:val="clear" w:pos="4410"/>
        <w:tab w:val="num" w:pos="720"/>
      </w:tabs>
      <w:spacing w:after="260"/>
      <w:ind w:left="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uiPriority w:val="2"/>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heme="majorEastAsia" w:hAnsi="Times New Roman" w:cs="Times New Roman"/>
      <w:b/>
      <w:kern w:val="32"/>
      <w:sz w:val="26"/>
      <w:szCs w:val="26"/>
      <w:u w:val="single"/>
    </w:rPr>
  </w:style>
  <w:style w:type="paragraph" w:styleId="FootnoteText">
    <w:name w:val="footnote text"/>
    <w:basedOn w:val="Normal"/>
    <w:uiPriority w:val="1"/>
    <w:unhideWhenUsed/>
    <w:rsid w:val="00A65F1E"/>
    <w:pPr>
      <w:spacing w:after="260"/>
      <w:ind w:firstLine="720"/>
    </w:pPr>
    <w:rPr>
      <w:szCs w:val="20"/>
    </w:rPr>
  </w:style>
  <w:style w:type="character" w:styleId="UnresolvedMention">
    <w:name w:val="Unresolved Mention"/>
    <w:basedOn w:val="DefaultParagraphFont"/>
    <w:uiPriority w:val="99"/>
    <w:semiHidden/>
    <w:unhideWhenUsed/>
    <w:rsid w:val="00344130"/>
    <w:rPr>
      <w:color w:val="605E5C"/>
      <w:shd w:val="clear" w:color="auto" w:fill="E1DFDD"/>
    </w:rPr>
  </w:style>
  <w:style w:type="character" w:styleId="FootnoteReference">
    <w:name w:val="footnote reference"/>
    <w:basedOn w:val="DefaultParagraphFont"/>
    <w:uiPriority w:val="1"/>
    <w:unhideWhenUsed/>
    <w:qFormat/>
    <w:rsid w:val="00A65F1E"/>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9DF5B-89D4-4D4D-B1A2-715AFA1FE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E232A-1545-409A-B181-4FFA60383800}">
  <ds:schemaRefs>
    <ds:schemaRef ds:uri="Microsoft.SharePoint.Taxonomy.ContentTypeSync"/>
  </ds:schemaRefs>
</ds:datastoreItem>
</file>

<file path=customXml/itemProps3.xml><?xml version="1.0" encoding="utf-8"?>
<ds:datastoreItem xmlns:ds="http://schemas.openxmlformats.org/officeDocument/2006/customXml" ds:itemID="{A027B4CD-B614-4B0E-8AF7-356CE7FEE71D}">
  <ds:schemaRefs>
    <ds:schemaRef ds:uri="http://schemas.microsoft.com/sharepoint/v3/contenttype/forms"/>
  </ds:schemaRefs>
</ds:datastoreItem>
</file>

<file path=customXml/itemProps4.xml><?xml version="1.0" encoding="utf-8"?>
<ds:datastoreItem xmlns:ds="http://schemas.openxmlformats.org/officeDocument/2006/customXml" ds:itemID="{B3ABDDF8-63AB-4C84-9396-C1B903C5EFF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www.w3.org/XML/1998/namespace"/>
    <ds:schemaRef ds:uri="http://purl.org/dc/dcmitype/"/>
  </ds:schemaRefs>
</ds:datastoreItem>
</file>

<file path=customXml/itemProps5.xml><?xml version="1.0" encoding="utf-8"?>
<ds:datastoreItem xmlns:ds="http://schemas.openxmlformats.org/officeDocument/2006/customXml" ds:itemID="{C1116AFB-C81B-4B4A-AF8C-EF342084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1755</Words>
  <Characters>9957</Characters>
  <Application>Microsoft Office Word</Application>
  <DocSecurity>0</DocSecurity>
  <Lines>168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2021-01-19T19:57:00Z</dcterms:created>
  <dcterms:modified xsi:type="dcterms:W3CDTF">2021-01-19T19:57:00Z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ies>
</file>