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2C2A" w14:textId="77777777" w:rsidR="00444258" w:rsidRDefault="00147476">
      <w:pPr>
        <w:jc w:val="center"/>
      </w:pPr>
      <w:bookmarkStart w:id="0" w:name="_GoBack"/>
      <w:bookmarkEnd w:id="0"/>
      <w:r>
        <w:t>170 FERC ¶ 61,244</w:t>
      </w:r>
    </w:p>
    <w:p w14:paraId="5209575C" w14:textId="296FAA93" w:rsidR="00C74A76" w:rsidRPr="00C907D8" w:rsidRDefault="00C74A76" w:rsidP="007E3EFD">
      <w:pPr>
        <w:jc w:val="center"/>
      </w:pPr>
      <w:r w:rsidRPr="00C907D8">
        <w:t>FEDERAL ENERGY REGULATORY COMMISSION</w:t>
      </w:r>
    </w:p>
    <w:p w14:paraId="4B695244" w14:textId="77777777" w:rsidR="00C74A76" w:rsidRPr="00C907D8" w:rsidRDefault="00C74A76" w:rsidP="009F3F1F">
      <w:pPr>
        <w:jc w:val="center"/>
      </w:pPr>
      <w:r w:rsidRPr="00C907D8">
        <w:t>WASHINGTON, DC 20426</w:t>
      </w:r>
    </w:p>
    <w:p w14:paraId="2285DF7C" w14:textId="77777777" w:rsidR="0021254E" w:rsidRPr="00C907D8" w:rsidRDefault="0021254E" w:rsidP="009F3F1F">
      <w:pPr>
        <w:jc w:val="center"/>
      </w:pPr>
    </w:p>
    <w:p w14:paraId="6DB0710B" w14:textId="207FE506" w:rsidR="00C74A76" w:rsidRDefault="00514D99" w:rsidP="00514D99">
      <w:pPr>
        <w:widowControl/>
        <w:jc w:val="center"/>
      </w:pPr>
      <w:r w:rsidRPr="00514D99">
        <w:t xml:space="preserve">(March </w:t>
      </w:r>
      <w:r w:rsidR="005B5AA9">
        <w:t>23</w:t>
      </w:r>
      <w:r w:rsidRPr="00514D99">
        <w:t>, 2020)</w:t>
      </w:r>
    </w:p>
    <w:p w14:paraId="24EDB7EC" w14:textId="77777777" w:rsidR="00C74A76" w:rsidRPr="00C907D8" w:rsidRDefault="00C74A76" w:rsidP="00514D99"/>
    <w:p w14:paraId="4EB59533" w14:textId="77777777" w:rsidR="00C74A76" w:rsidRPr="00C907D8" w:rsidRDefault="00C74A76" w:rsidP="009F3F1F">
      <w:r w:rsidRPr="00C907D8">
        <w:tab/>
      </w:r>
      <w:r w:rsidRPr="00C907D8">
        <w:tab/>
      </w:r>
      <w:r w:rsidRPr="00C907D8">
        <w:tab/>
      </w:r>
      <w:r w:rsidRPr="00C907D8">
        <w:tab/>
      </w:r>
      <w:r w:rsidRPr="00C907D8">
        <w:tab/>
      </w:r>
      <w:r w:rsidR="0021254E" w:rsidRPr="00C907D8">
        <w:tab/>
      </w:r>
      <w:r w:rsidR="0021254E" w:rsidRPr="00C907D8">
        <w:tab/>
      </w:r>
      <w:r w:rsidRPr="00C907D8">
        <w:t>In Reply Refer To:</w:t>
      </w:r>
    </w:p>
    <w:p w14:paraId="2729B5C6" w14:textId="77777777" w:rsidR="00C74A76" w:rsidRPr="00C907D8" w:rsidRDefault="008440C7" w:rsidP="008440C7">
      <w:pPr>
        <w:ind w:left="5040"/>
      </w:pPr>
      <w:bookmarkStart w:id="1" w:name="Company"/>
      <w:bookmarkEnd w:id="1"/>
      <w:r w:rsidRPr="00C907D8">
        <w:t>Portland General Electric Company</w:t>
      </w:r>
    </w:p>
    <w:p w14:paraId="4F73A3D7" w14:textId="4B9E8396" w:rsidR="009A01DC" w:rsidRPr="00C907D8" w:rsidRDefault="00C74A76" w:rsidP="008440C7">
      <w:pPr>
        <w:ind w:left="4320" w:firstLine="720"/>
      </w:pPr>
      <w:bookmarkStart w:id="2" w:name="Docket_Number"/>
      <w:bookmarkEnd w:id="2"/>
      <w:r w:rsidRPr="00C907D8">
        <w:t>Docket No</w:t>
      </w:r>
      <w:r w:rsidR="00DB181D" w:rsidRPr="00C907D8">
        <w:t>s</w:t>
      </w:r>
      <w:r w:rsidRPr="00C907D8">
        <w:t>.</w:t>
      </w:r>
      <w:r w:rsidR="00635696" w:rsidRPr="00C907D8">
        <w:t xml:space="preserve"> </w:t>
      </w:r>
      <w:r w:rsidR="009A01DC" w:rsidRPr="00C907D8">
        <w:t>EL18-109-000</w:t>
      </w:r>
    </w:p>
    <w:p w14:paraId="062F2428" w14:textId="5D1CA162" w:rsidR="0021254E" w:rsidRPr="00C907D8" w:rsidRDefault="009A01DC" w:rsidP="009A01DC">
      <w:pPr>
        <w:ind w:left="5040" w:firstLine="720"/>
      </w:pPr>
      <w:r w:rsidRPr="00C907D8">
        <w:t xml:space="preserve">          </w:t>
      </w:r>
      <w:r w:rsidR="004252AB" w:rsidRPr="00C907D8">
        <w:t>ER</w:t>
      </w:r>
      <w:r w:rsidR="008440C7" w:rsidRPr="00C907D8">
        <w:t>20</w:t>
      </w:r>
      <w:r w:rsidR="00C74A76" w:rsidRPr="00C907D8">
        <w:t>-</w:t>
      </w:r>
      <w:r w:rsidR="008440C7" w:rsidRPr="00C907D8">
        <w:t>523</w:t>
      </w:r>
      <w:r w:rsidR="006C79BD" w:rsidRPr="00C907D8">
        <w:t>-00</w:t>
      </w:r>
      <w:r w:rsidR="008440C7" w:rsidRPr="00C907D8">
        <w:t>0</w:t>
      </w:r>
    </w:p>
    <w:p w14:paraId="598AC0FC" w14:textId="3B7D3423" w:rsidR="00C74A76" w:rsidRPr="00C907D8" w:rsidRDefault="008440C7" w:rsidP="008440C7">
      <w:pPr>
        <w:ind w:left="5760"/>
      </w:pPr>
      <w:r w:rsidRPr="00C907D8">
        <w:t xml:space="preserve">          </w:t>
      </w:r>
    </w:p>
    <w:p w14:paraId="0109C7C6" w14:textId="77777777" w:rsidR="0021254E" w:rsidRPr="00C907D8" w:rsidRDefault="0021254E" w:rsidP="00514D99"/>
    <w:p w14:paraId="6F41AC0D" w14:textId="77777777" w:rsidR="0021254E" w:rsidRPr="00C907D8" w:rsidRDefault="0021254E" w:rsidP="009F3F1F">
      <w:bookmarkStart w:id="3" w:name="Address"/>
      <w:bookmarkEnd w:id="3"/>
      <w:r w:rsidRPr="00C907D8">
        <w:t xml:space="preserve">Mr. </w:t>
      </w:r>
      <w:r w:rsidR="00365482" w:rsidRPr="00C907D8">
        <w:t>Donald J. Light</w:t>
      </w:r>
    </w:p>
    <w:p w14:paraId="4572669C" w14:textId="77777777" w:rsidR="00C74A76" w:rsidRPr="00C907D8" w:rsidRDefault="00DF0DE7" w:rsidP="009F3F1F">
      <w:r w:rsidRPr="00C907D8">
        <w:t>Portland General Electric Company</w:t>
      </w:r>
    </w:p>
    <w:p w14:paraId="43C2F0A0" w14:textId="77777777" w:rsidR="00514D99" w:rsidRDefault="00DF0DE7" w:rsidP="009F3F1F">
      <w:r w:rsidRPr="00C907D8">
        <w:t xml:space="preserve">121 SW Salon Street </w:t>
      </w:r>
    </w:p>
    <w:p w14:paraId="50D745AA" w14:textId="2DC04279" w:rsidR="00DF0DE7" w:rsidRPr="00C907D8" w:rsidRDefault="00DF0DE7" w:rsidP="009F3F1F">
      <w:r w:rsidRPr="00C907D8">
        <w:t>3WTC0407</w:t>
      </w:r>
    </w:p>
    <w:p w14:paraId="6D98602C" w14:textId="4AA31709" w:rsidR="00C74A76" w:rsidRPr="00C907D8" w:rsidRDefault="00DF0DE7" w:rsidP="009F3F1F">
      <w:r w:rsidRPr="00C907D8">
        <w:t>Portland, Oregon</w:t>
      </w:r>
      <w:r w:rsidR="00514D99">
        <w:t xml:space="preserve"> </w:t>
      </w:r>
      <w:r w:rsidRPr="00C907D8">
        <w:t>97204</w:t>
      </w:r>
    </w:p>
    <w:p w14:paraId="09AE7AE3" w14:textId="77777777" w:rsidR="00C74A76" w:rsidRPr="00C907D8" w:rsidRDefault="00C74A76" w:rsidP="009F3F1F"/>
    <w:p w14:paraId="05AD1688" w14:textId="598A01C8" w:rsidR="00C74A76" w:rsidRPr="00C907D8" w:rsidRDefault="00C74A76" w:rsidP="009F3F1F">
      <w:r w:rsidRPr="00C907D8">
        <w:t>Attention:</w:t>
      </w:r>
      <w:r w:rsidR="00514D99">
        <w:t xml:space="preserve">  </w:t>
      </w:r>
      <w:r w:rsidR="00DF0DE7" w:rsidRPr="00C907D8">
        <w:t>Donald J. Light</w:t>
      </w:r>
    </w:p>
    <w:p w14:paraId="5C461E7F" w14:textId="77777777" w:rsidR="00C74A76" w:rsidRPr="00C907D8" w:rsidRDefault="00C74A76" w:rsidP="009F3F1F"/>
    <w:p w14:paraId="090CC5BB" w14:textId="77777777" w:rsidR="00C74A76" w:rsidRPr="00C907D8" w:rsidRDefault="00C74A76" w:rsidP="009F3F1F">
      <w:bookmarkStart w:id="4" w:name="Name"/>
      <w:bookmarkEnd w:id="4"/>
      <w:r w:rsidRPr="00C907D8">
        <w:t xml:space="preserve">Dear </w:t>
      </w:r>
      <w:bookmarkStart w:id="5" w:name="Name2"/>
      <w:bookmarkEnd w:id="5"/>
      <w:r w:rsidRPr="00C907D8">
        <w:t xml:space="preserve">Mr. </w:t>
      </w:r>
      <w:r w:rsidR="00DF0DE7" w:rsidRPr="00C907D8">
        <w:t>Light</w:t>
      </w:r>
      <w:r w:rsidRPr="00C907D8">
        <w:t>:</w:t>
      </w:r>
    </w:p>
    <w:p w14:paraId="4A0A575F" w14:textId="77777777" w:rsidR="00C74A76" w:rsidRPr="00C907D8" w:rsidRDefault="00C74A76" w:rsidP="009F3F1F"/>
    <w:p w14:paraId="09C6B972" w14:textId="5A287E70" w:rsidR="00C74A76" w:rsidRPr="00C907D8" w:rsidRDefault="004F2CBA" w:rsidP="00C907D8">
      <w:pPr>
        <w:pStyle w:val="FERCparanumber"/>
      </w:pPr>
      <w:r w:rsidRPr="00C907D8">
        <w:t xml:space="preserve">On December </w:t>
      </w:r>
      <w:r w:rsidR="001478F2" w:rsidRPr="00C907D8">
        <w:t>5</w:t>
      </w:r>
      <w:r w:rsidR="00C74A76" w:rsidRPr="00C907D8">
        <w:t>, 201</w:t>
      </w:r>
      <w:r w:rsidR="001478F2" w:rsidRPr="00C907D8">
        <w:t>9</w:t>
      </w:r>
      <w:r w:rsidR="00C74A76" w:rsidRPr="00C907D8">
        <w:t xml:space="preserve">, </w:t>
      </w:r>
      <w:r w:rsidR="001478F2" w:rsidRPr="00C907D8">
        <w:t xml:space="preserve">Portland General Electric Company </w:t>
      </w:r>
      <w:r w:rsidR="004C388A" w:rsidRPr="00C907D8">
        <w:t>(</w:t>
      </w:r>
      <w:r w:rsidR="001478F2" w:rsidRPr="00C907D8">
        <w:t>Portland General</w:t>
      </w:r>
      <w:r w:rsidRPr="00C907D8">
        <w:t>) submitted</w:t>
      </w:r>
      <w:r w:rsidR="00B24AA2" w:rsidRPr="00C907D8">
        <w:t xml:space="preserve"> </w:t>
      </w:r>
      <w:r w:rsidR="00610CA0" w:rsidRPr="00C907D8">
        <w:t xml:space="preserve">proposed </w:t>
      </w:r>
      <w:r w:rsidR="007B1A6E" w:rsidRPr="00C907D8">
        <w:t xml:space="preserve">revisions to its open access transmission tariff (OATT) </w:t>
      </w:r>
      <w:r w:rsidR="009A01DC" w:rsidRPr="00C907D8">
        <w:t xml:space="preserve">and a refund report </w:t>
      </w:r>
      <w:r w:rsidR="007B1A6E" w:rsidRPr="00C907D8">
        <w:t>in</w:t>
      </w:r>
      <w:r w:rsidRPr="00C907D8">
        <w:t xml:space="preserve"> Docket No. ER</w:t>
      </w:r>
      <w:r w:rsidR="001478F2" w:rsidRPr="00C907D8">
        <w:t>20</w:t>
      </w:r>
      <w:r w:rsidRPr="00C907D8">
        <w:t>-</w:t>
      </w:r>
      <w:r w:rsidR="001478F2" w:rsidRPr="00C907D8">
        <w:t>523</w:t>
      </w:r>
      <w:r w:rsidRPr="00C907D8">
        <w:t>-00</w:t>
      </w:r>
      <w:r w:rsidR="001478F2" w:rsidRPr="00C907D8">
        <w:t>0</w:t>
      </w:r>
      <w:r w:rsidRPr="00C907D8">
        <w:t>,</w:t>
      </w:r>
      <w:r w:rsidR="004E5AE3" w:rsidRPr="00C907D8">
        <w:rPr>
          <w:rStyle w:val="FootnoteReference"/>
        </w:rPr>
        <w:footnoteReference w:id="2"/>
      </w:r>
      <w:r w:rsidR="00ED2A31" w:rsidRPr="00C907D8">
        <w:t xml:space="preserve"> </w:t>
      </w:r>
      <w:r w:rsidR="004F6275">
        <w:t>to comply</w:t>
      </w:r>
      <w:r w:rsidRPr="00C907D8">
        <w:t xml:space="preserve"> </w:t>
      </w:r>
      <w:r w:rsidR="00BF1B54" w:rsidRPr="00C907D8">
        <w:t>with the Commission’s November 5</w:t>
      </w:r>
      <w:r w:rsidR="001478F2" w:rsidRPr="00C907D8">
        <w:t>, 2019</w:t>
      </w:r>
      <w:r w:rsidR="00BF1B54" w:rsidRPr="00C907D8">
        <w:t xml:space="preserve"> </w:t>
      </w:r>
      <w:r w:rsidR="00E32165" w:rsidRPr="00C907D8">
        <w:t>o</w:t>
      </w:r>
      <w:r w:rsidR="00BF1B54" w:rsidRPr="00C907D8">
        <w:t>rder</w:t>
      </w:r>
      <w:r w:rsidR="00E32165" w:rsidRPr="00C907D8">
        <w:rPr>
          <w:rStyle w:val="FootnoteReference"/>
        </w:rPr>
        <w:footnoteReference w:id="3"/>
      </w:r>
      <w:r w:rsidR="00BF1B54" w:rsidRPr="00C907D8">
        <w:t xml:space="preserve"> </w:t>
      </w:r>
      <w:r w:rsidR="00AD7725" w:rsidRPr="00C907D8">
        <w:t xml:space="preserve">regarding </w:t>
      </w:r>
      <w:r w:rsidR="00C366F2" w:rsidRPr="00C907D8">
        <w:t>Portland General</w:t>
      </w:r>
      <w:r w:rsidR="00AD7725" w:rsidRPr="00C907D8">
        <w:t xml:space="preserve">’s response to the Commission’s </w:t>
      </w:r>
      <w:r w:rsidR="00E32165" w:rsidRPr="00C907D8">
        <w:t xml:space="preserve">March 15, 2018 </w:t>
      </w:r>
      <w:r w:rsidR="00AD7725" w:rsidRPr="00C907D8">
        <w:t>tax rate-related order to show cause</w:t>
      </w:r>
      <w:r w:rsidR="00BF1B54" w:rsidRPr="00C907D8">
        <w:t>.</w:t>
      </w:r>
      <w:r w:rsidR="0011641D" w:rsidRPr="00C907D8">
        <w:rPr>
          <w:rStyle w:val="FootnoteReference"/>
        </w:rPr>
        <w:footnoteReference w:id="4"/>
      </w:r>
      <w:r w:rsidR="00C74A76" w:rsidRPr="00C907D8">
        <w:t xml:space="preserve">  </w:t>
      </w:r>
      <w:r w:rsidR="004C388A" w:rsidRPr="00C907D8">
        <w:t xml:space="preserve">In this order, we </w:t>
      </w:r>
      <w:r w:rsidR="002217B8" w:rsidRPr="00C907D8">
        <w:t xml:space="preserve">find that </w:t>
      </w:r>
      <w:r w:rsidR="00C366F2" w:rsidRPr="00C907D8">
        <w:t>Portland General</w:t>
      </w:r>
      <w:r w:rsidR="00B438B8" w:rsidRPr="00C907D8">
        <w:t xml:space="preserve">’s proposed OATT revisions </w:t>
      </w:r>
      <w:r w:rsidR="009A01DC" w:rsidRPr="00C907D8">
        <w:t xml:space="preserve">and refund report </w:t>
      </w:r>
      <w:r w:rsidR="00B438B8" w:rsidRPr="00C907D8">
        <w:t xml:space="preserve">comply with the Commission’s directives </w:t>
      </w:r>
      <w:r w:rsidR="00315BB5" w:rsidRPr="00C907D8">
        <w:t xml:space="preserve">in </w:t>
      </w:r>
      <w:r w:rsidR="00AD7725" w:rsidRPr="00C907D8">
        <w:t>the November 5 Order</w:t>
      </w:r>
      <w:r w:rsidR="00FC4F94" w:rsidRPr="00C907D8">
        <w:t>.  As a result, we also</w:t>
      </w:r>
      <w:r w:rsidR="004C388A" w:rsidRPr="00C907D8">
        <w:t xml:space="preserve"> terminate the</w:t>
      </w:r>
      <w:r w:rsidR="006363E4" w:rsidRPr="00C907D8">
        <w:t xml:space="preserve"> </w:t>
      </w:r>
      <w:r w:rsidR="009A01DC" w:rsidRPr="00C907D8">
        <w:t xml:space="preserve">proceeding instituted under </w:t>
      </w:r>
      <w:r w:rsidR="004C388A" w:rsidRPr="00C907D8">
        <w:t>section 206</w:t>
      </w:r>
      <w:r w:rsidR="00DC1DE4" w:rsidRPr="00C907D8">
        <w:t xml:space="preserve"> of the Federal Power Act (FPA)</w:t>
      </w:r>
      <w:r w:rsidR="00DC1DE4" w:rsidRPr="00C907D8">
        <w:rPr>
          <w:rStyle w:val="FootnoteReference"/>
        </w:rPr>
        <w:footnoteReference w:id="5"/>
      </w:r>
      <w:r w:rsidR="004C388A" w:rsidRPr="00C907D8">
        <w:t xml:space="preserve"> </w:t>
      </w:r>
      <w:r w:rsidR="00F8032E" w:rsidRPr="00C907D8">
        <w:t>in Docket No. EL</w:t>
      </w:r>
      <w:r w:rsidR="009112ED" w:rsidRPr="00C907D8">
        <w:t>18-109</w:t>
      </w:r>
      <w:r w:rsidR="00F8032E" w:rsidRPr="00C907D8">
        <w:t>-000</w:t>
      </w:r>
      <w:r w:rsidR="00C74A76" w:rsidRPr="00C907D8">
        <w:t>.</w:t>
      </w:r>
    </w:p>
    <w:p w14:paraId="44DC7738" w14:textId="358ECC00" w:rsidR="004C388A" w:rsidRPr="00C907D8" w:rsidRDefault="004C388A" w:rsidP="00C907D8">
      <w:pPr>
        <w:pStyle w:val="FERCparanumber"/>
      </w:pPr>
      <w:r w:rsidRPr="00C907D8">
        <w:lastRenderedPageBreak/>
        <w:t>On March 15, 2018, the Commission issued several orders to address the effects of the Tax Cuts and Jobs Act of 2017 (Tax Cuts and Jobs Act),</w:t>
      </w:r>
      <w:r w:rsidRPr="00C907D8">
        <w:rPr>
          <w:rStyle w:val="FootnoteReference"/>
        </w:rPr>
        <w:footnoteReference w:id="6"/>
      </w:r>
      <w:r w:rsidRPr="00C907D8">
        <w:t xml:space="preserve"> which, among other things, reduced the federal corporate income tax rate from 35</w:t>
      </w:r>
      <w:r w:rsidR="00514D99">
        <w:t>%</w:t>
      </w:r>
      <w:r w:rsidRPr="00C907D8">
        <w:t xml:space="preserve"> to 21</w:t>
      </w:r>
      <w:r w:rsidR="00514D99">
        <w:t>%</w:t>
      </w:r>
      <w:r w:rsidRPr="00C907D8">
        <w:t>.</w:t>
      </w:r>
      <w:r w:rsidR="0067339E" w:rsidRPr="00C907D8">
        <w:rPr>
          <w:rStyle w:val="FootnoteReference"/>
        </w:rPr>
        <w:footnoteReference w:id="7"/>
      </w:r>
      <w:r w:rsidRPr="00C907D8">
        <w:t xml:space="preserve">  Of relevance here, pursuant to </w:t>
      </w:r>
      <w:r w:rsidR="0067339E" w:rsidRPr="00C907D8">
        <w:t>FPA section 206</w:t>
      </w:r>
      <w:r w:rsidRPr="00C907D8">
        <w:t>, the Commission issued the Stated Rate Order to Show Cause to public utilities that use stated transmission rates under an open access transmission tariff or transmission owner tariff.</w:t>
      </w:r>
    </w:p>
    <w:p w14:paraId="0DC1AF45" w14:textId="5AC06D49" w:rsidR="00C62F75" w:rsidRPr="00C907D8" w:rsidRDefault="00C62F75" w:rsidP="00C907D8">
      <w:pPr>
        <w:pStyle w:val="FERCparanumber"/>
      </w:pPr>
      <w:r w:rsidRPr="00C907D8">
        <w:t xml:space="preserve">On May 14, 2018, Portland General submitted an initial response to the </w:t>
      </w:r>
      <w:r w:rsidR="00514D99">
        <w:t xml:space="preserve">        </w:t>
      </w:r>
      <w:r w:rsidRPr="00C907D8">
        <w:t xml:space="preserve">Stated Rate Order to Show Cause and argued </w:t>
      </w:r>
      <w:r w:rsidRPr="00C907D8" w:rsidDel="009C4572">
        <w:t xml:space="preserve">that </w:t>
      </w:r>
      <w:r w:rsidRPr="00C907D8">
        <w:t>under FPA section 206</w:t>
      </w:r>
      <w:r w:rsidRPr="00C907D8" w:rsidDel="00E177C4">
        <w:t xml:space="preserve"> </w:t>
      </w:r>
      <w:r w:rsidRPr="00C907D8">
        <w:t>the Commission must evaluate</w:t>
      </w:r>
      <w:r w:rsidRPr="00C907D8" w:rsidDel="00303F9F">
        <w:t xml:space="preserve"> </w:t>
      </w:r>
      <w:r w:rsidRPr="00C907D8">
        <w:t xml:space="preserve">Portland General’s overall stated transmission </w:t>
      </w:r>
      <w:proofErr w:type="gramStart"/>
      <w:r w:rsidRPr="00C907D8">
        <w:t xml:space="preserve">rates, </w:t>
      </w:r>
      <w:r w:rsidR="00514D99">
        <w:t xml:space="preserve">  </w:t>
      </w:r>
      <w:proofErr w:type="gramEnd"/>
      <w:r w:rsidR="00514D99">
        <w:t xml:space="preserve">     </w:t>
      </w:r>
      <w:r w:rsidRPr="00C907D8">
        <w:t xml:space="preserve">rather than a single component of those rates.  Portland General contended that its </w:t>
      </w:r>
      <w:r w:rsidR="00514D99">
        <w:t xml:space="preserve">    </w:t>
      </w:r>
      <w:r w:rsidRPr="00C907D8">
        <w:t>stated transmission rates remain just and reasonable due to a combination of increased transmission investment and flat or declining demand since its rates were established in 2001.</w:t>
      </w:r>
      <w:r w:rsidRPr="00C907D8">
        <w:rPr>
          <w:rStyle w:val="FootnoteReference"/>
        </w:rPr>
        <w:footnoteReference w:id="8"/>
      </w:r>
      <w:r w:rsidRPr="00C907D8">
        <w:t xml:space="preserve">  </w:t>
      </w:r>
      <w:r w:rsidRPr="00C907D8" w:rsidDel="00E177C4">
        <w:t xml:space="preserve">Additionally, Portland General </w:t>
      </w:r>
      <w:r w:rsidRPr="00C907D8">
        <w:t xml:space="preserve">committed to file a comprehensive analysis of its stated transmission rates using calendar year 2018 cost data after it filed its FERC </w:t>
      </w:r>
      <w:r w:rsidR="00514D99">
        <w:t xml:space="preserve">    </w:t>
      </w:r>
      <w:r w:rsidRPr="00C907D8">
        <w:t>Form No.</w:t>
      </w:r>
      <w:r w:rsidR="00514D99">
        <w:t xml:space="preserve"> </w:t>
      </w:r>
      <w:r w:rsidRPr="00C907D8">
        <w:t>1 for the 2018 reporting year with the Commission.</w:t>
      </w:r>
      <w:r w:rsidRPr="00C907D8">
        <w:rPr>
          <w:rStyle w:val="FootnoteReference"/>
        </w:rPr>
        <w:footnoteReference w:id="9"/>
      </w:r>
      <w:r w:rsidRPr="00C907D8">
        <w:t xml:space="preserve">  </w:t>
      </w:r>
      <w:r w:rsidRPr="00C907D8" w:rsidDel="006C541A">
        <w:t xml:space="preserve">Portland </w:t>
      </w:r>
      <w:r w:rsidRPr="00C907D8">
        <w:t>General</w:t>
      </w:r>
      <w:r w:rsidRPr="00C907D8" w:rsidDel="00E177C4">
        <w:t xml:space="preserve"> </w:t>
      </w:r>
      <w:r w:rsidRPr="00C907D8">
        <w:t xml:space="preserve">asserted that, if such analysis indicated that its stated transmission rates should be reduced, </w:t>
      </w:r>
      <w:r w:rsidRPr="00C907D8" w:rsidDel="006C541A">
        <w:t xml:space="preserve">Portland </w:t>
      </w:r>
      <w:r w:rsidRPr="00C907D8">
        <w:t>General committed to issue refunds to its transmission customers, with interest, dating back to March 21, 2018 even if that date is beyond the 15-month refund period provided for under FPA section 206.</w:t>
      </w:r>
      <w:r w:rsidRPr="00C907D8">
        <w:rPr>
          <w:rStyle w:val="FootnoteReference"/>
        </w:rPr>
        <w:footnoteReference w:id="10"/>
      </w:r>
      <w:r w:rsidRPr="00C907D8">
        <w:t xml:space="preserve">  Finally, Portland General requested that the Commission hold this proceeding in abeyance until </w:t>
      </w:r>
      <w:r w:rsidRPr="00C907D8" w:rsidDel="006C541A">
        <w:t xml:space="preserve">Portland </w:t>
      </w:r>
      <w:r w:rsidRPr="00C907D8">
        <w:t>General could complete and submit its analysis.</w:t>
      </w:r>
      <w:r w:rsidRPr="00C907D8">
        <w:rPr>
          <w:rStyle w:val="FootnoteReference"/>
        </w:rPr>
        <w:footnoteReference w:id="11"/>
      </w:r>
    </w:p>
    <w:p w14:paraId="51207179" w14:textId="00724E83" w:rsidR="00C62F75" w:rsidRPr="00C907D8" w:rsidRDefault="00C62F75" w:rsidP="00C907D8">
      <w:pPr>
        <w:pStyle w:val="FERCparanumber"/>
      </w:pPr>
      <w:r w:rsidRPr="00C907D8">
        <w:t xml:space="preserve">On November 15, 2018, the Commission issued an order </w:t>
      </w:r>
      <w:r w:rsidR="00BD464C" w:rsidRPr="00C907D8">
        <w:t xml:space="preserve">in Docket </w:t>
      </w:r>
      <w:r w:rsidR="00514D99">
        <w:t xml:space="preserve">                   </w:t>
      </w:r>
      <w:r w:rsidR="00BD464C" w:rsidRPr="00C907D8">
        <w:t>No.</w:t>
      </w:r>
      <w:r w:rsidR="00514D99">
        <w:t xml:space="preserve"> </w:t>
      </w:r>
      <w:r w:rsidR="00BD464C" w:rsidRPr="00C907D8">
        <w:t xml:space="preserve">EL18-109-000 </w:t>
      </w:r>
      <w:r w:rsidRPr="00C907D8">
        <w:t xml:space="preserve">acknowledging that Portland General submitted a response to </w:t>
      </w:r>
      <w:r w:rsidR="00514D99">
        <w:t xml:space="preserve">         </w:t>
      </w:r>
      <w:r w:rsidRPr="00C907D8">
        <w:t>the Stated Rate Order to Show Cause and held this FPA section 206 proceeding in abeyance.</w:t>
      </w:r>
      <w:r w:rsidRPr="00C907D8">
        <w:rPr>
          <w:rStyle w:val="FootnoteReference"/>
        </w:rPr>
        <w:footnoteReference w:id="12"/>
      </w:r>
    </w:p>
    <w:p w14:paraId="075D0034" w14:textId="3352FF04" w:rsidR="004C388A" w:rsidRPr="00C907D8" w:rsidRDefault="00C62F75" w:rsidP="00C907D8">
      <w:pPr>
        <w:pStyle w:val="FERCparanumber"/>
      </w:pPr>
      <w:r w:rsidRPr="00C907D8">
        <w:lastRenderedPageBreak/>
        <w:t xml:space="preserve">On July 25, 2019, Portland General submitted its supplemental response to the Stated Rate Order to Show Cause.  In the response, Portland General </w:t>
      </w:r>
      <w:r w:rsidR="00BD464C" w:rsidRPr="00C907D8">
        <w:t>states</w:t>
      </w:r>
      <w:r w:rsidRPr="00C907D8">
        <w:t xml:space="preserve"> that it maintains two separate transmission rates―</w:t>
      </w:r>
      <w:r w:rsidR="00CC54D9" w:rsidRPr="00C907D8">
        <w:t>the transmission rate for its main transmission system</w:t>
      </w:r>
      <w:r w:rsidRPr="00C907D8">
        <w:t xml:space="preserve"> </w:t>
      </w:r>
      <w:r w:rsidR="00CC54D9" w:rsidRPr="00C907D8">
        <w:t>(</w:t>
      </w:r>
      <w:r w:rsidRPr="00C907D8">
        <w:t>Main Transmission Rate</w:t>
      </w:r>
      <w:r w:rsidR="00CC54D9" w:rsidRPr="00C907D8">
        <w:t>)</w:t>
      </w:r>
      <w:r w:rsidRPr="00C907D8">
        <w:t xml:space="preserve"> and </w:t>
      </w:r>
      <w:r w:rsidR="00CC54D9" w:rsidRPr="00C907D8">
        <w:t>the transmission rate for its</w:t>
      </w:r>
      <w:r w:rsidR="001E1AB0">
        <w:t xml:space="preserve"> </w:t>
      </w:r>
      <w:r w:rsidR="00CC54D9" w:rsidRPr="00C907D8">
        <w:t>Colstrip transmission system (</w:t>
      </w:r>
      <w:r w:rsidRPr="00C907D8">
        <w:t>Colstrip Rate</w:t>
      </w:r>
      <w:r w:rsidR="00CC54D9" w:rsidRPr="00C907D8">
        <w:t>)</w:t>
      </w:r>
      <w:r w:rsidRPr="00C907D8">
        <w:t>.</w:t>
      </w:r>
      <w:r w:rsidRPr="00C907D8">
        <w:rPr>
          <w:b/>
          <w:vertAlign w:val="superscript"/>
        </w:rPr>
        <w:footnoteReference w:id="13"/>
      </w:r>
      <w:r w:rsidRPr="00C907D8">
        <w:t xml:space="preserve">  </w:t>
      </w:r>
      <w:r w:rsidR="001741A9" w:rsidRPr="00C907D8">
        <w:t xml:space="preserve">Portland General submitted a rate analysis based on the 2018 calendar year cost data </w:t>
      </w:r>
      <w:r w:rsidR="00460C23">
        <w:t xml:space="preserve">reflected in </w:t>
      </w:r>
      <w:r w:rsidR="001741A9" w:rsidRPr="00C907D8">
        <w:t xml:space="preserve">Portland General’s FERC Form No. 1, including actual load data, </w:t>
      </w:r>
      <w:r w:rsidR="00460C23">
        <w:t xml:space="preserve">adjusted for </w:t>
      </w:r>
      <w:r w:rsidR="001741A9" w:rsidRPr="00C907D8">
        <w:t xml:space="preserve">the effects of the Tax Cuts and Jobs Act. </w:t>
      </w:r>
      <w:r w:rsidR="00BE5802" w:rsidRPr="00C907D8">
        <w:t xml:space="preserve"> </w:t>
      </w:r>
      <w:r w:rsidRPr="00C907D8">
        <w:t>Portland General</w:t>
      </w:r>
      <w:r w:rsidR="00530877">
        <w:t xml:space="preserve">’s analysis demonstrated that </w:t>
      </w:r>
      <w:r w:rsidR="008A3233" w:rsidRPr="00C907D8">
        <w:t xml:space="preserve">its Main Transmission Rate </w:t>
      </w:r>
      <w:r w:rsidR="00AB4BE6">
        <w:t xml:space="preserve">could </w:t>
      </w:r>
      <w:r w:rsidR="00530877">
        <w:t>be higher</w:t>
      </w:r>
      <w:r w:rsidR="00460C23">
        <w:t xml:space="preserve"> than the currently stated rate</w:t>
      </w:r>
      <w:r w:rsidR="00530877">
        <w:t>, while its Colstrip Rate should be $0.63 kilowatt (kW) per month lower</w:t>
      </w:r>
      <w:r w:rsidR="00460C23">
        <w:t xml:space="preserve">; a reduction </w:t>
      </w:r>
      <w:r w:rsidR="00530877">
        <w:t>from $1.64 per kW per month to $1.01 per kW per month</w:t>
      </w:r>
      <w:r w:rsidR="008A3233" w:rsidRPr="00C907D8">
        <w:t xml:space="preserve">.  Portland General </w:t>
      </w:r>
      <w:r w:rsidR="00530877">
        <w:t>argued that while its analysis results in an expected rate that is less than its current Colstrip Rate, revisions are not necessary because</w:t>
      </w:r>
      <w:r w:rsidR="00460C23">
        <w:t>:</w:t>
      </w:r>
      <w:r w:rsidR="001E1AB0">
        <w:t xml:space="preserve">  </w:t>
      </w:r>
      <w:r w:rsidR="00530877">
        <w:t xml:space="preserve">(1) Portland General’s marketing arm </w:t>
      </w:r>
      <w:r w:rsidR="008A3233" w:rsidRPr="00C907D8">
        <w:t xml:space="preserve">has been the only customer </w:t>
      </w:r>
      <w:r w:rsidR="00530877">
        <w:t>that has taken service over the Colstrip transmission system; (2) the expected increase for its Main Transmission Rate offsets the expected decrease for its Colstrip Rate; and (3)</w:t>
      </w:r>
      <w:r w:rsidR="00C967FC">
        <w:t xml:space="preserve"> </w:t>
      </w:r>
      <w:r w:rsidR="00530877">
        <w:t xml:space="preserve">given the unique circumstances associated with the Colstrip transmission system, Portland General should not be required to address the Colstrip Rate </w:t>
      </w:r>
      <w:r w:rsidR="008A3233" w:rsidRPr="00C907D8">
        <w:t>outside of Portland General’s next transmission rate case</w:t>
      </w:r>
      <w:r w:rsidR="00864F06" w:rsidRPr="00C907D8">
        <w:t>.</w:t>
      </w:r>
      <w:r w:rsidR="00AF4B4A">
        <w:rPr>
          <w:rStyle w:val="FootnoteReference"/>
        </w:rPr>
        <w:footnoteReference w:id="14"/>
      </w:r>
    </w:p>
    <w:p w14:paraId="312F1499" w14:textId="1C4EF772" w:rsidR="00680CF1" w:rsidRDefault="00680CF1" w:rsidP="00662E76">
      <w:pPr>
        <w:pStyle w:val="FERCparanumber"/>
      </w:pPr>
      <w:r w:rsidRPr="00C907D8">
        <w:t>In the November 5 Order</w:t>
      </w:r>
      <w:r w:rsidR="00511022" w:rsidRPr="00C907D8">
        <w:t>,</w:t>
      </w:r>
      <w:r w:rsidRPr="00C907D8">
        <w:t xml:space="preserve"> the Commission found that </w:t>
      </w:r>
      <w:r w:rsidR="00C967FC">
        <w:t xml:space="preserve">Portland General has shown cause as to why </w:t>
      </w:r>
      <w:r w:rsidRPr="00C907D8">
        <w:t xml:space="preserve">no revisions to </w:t>
      </w:r>
      <w:r w:rsidR="00C967FC">
        <w:t>its</w:t>
      </w:r>
      <w:r w:rsidRPr="00C907D8">
        <w:t xml:space="preserve"> Main Transmission Rate </w:t>
      </w:r>
      <w:r w:rsidR="009D3494" w:rsidRPr="00C907D8">
        <w:t>were</w:t>
      </w:r>
      <w:r w:rsidRPr="00C907D8">
        <w:t xml:space="preserve"> necessary</w:t>
      </w:r>
      <w:r w:rsidR="001E1AB0">
        <w:t xml:space="preserve"> </w:t>
      </w:r>
      <w:r w:rsidRPr="00C907D8">
        <w:t>but found that Portland General’s</w:t>
      </w:r>
      <w:r w:rsidR="00460C23">
        <w:t xml:space="preserve"> </w:t>
      </w:r>
      <w:r w:rsidRPr="00C907D8">
        <w:t xml:space="preserve">current Colstrip Rate </w:t>
      </w:r>
      <w:r w:rsidR="009D3494" w:rsidRPr="00C907D8">
        <w:t>was</w:t>
      </w:r>
      <w:r w:rsidRPr="00C907D8">
        <w:t xml:space="preserve"> unjust and unreasonable</w:t>
      </w:r>
      <w:r w:rsidR="003D5F7F">
        <w:t>.</w:t>
      </w:r>
      <w:r w:rsidR="001E1AB0">
        <w:t xml:space="preserve">  </w:t>
      </w:r>
      <w:r w:rsidR="003D5F7F">
        <w:t>The Commission therefore</w:t>
      </w:r>
      <w:r w:rsidRPr="00C907D8">
        <w:t xml:space="preserve"> direct</w:t>
      </w:r>
      <w:r w:rsidR="009D3494" w:rsidRPr="00C907D8">
        <w:t>ed</w:t>
      </w:r>
      <w:r w:rsidRPr="00C907D8">
        <w:t xml:space="preserve"> Portland General </w:t>
      </w:r>
      <w:r w:rsidR="00AD5651">
        <w:t xml:space="preserve">to </w:t>
      </w:r>
      <w:r w:rsidR="003D5F7F">
        <w:t>propose OATT revisions reducing</w:t>
      </w:r>
      <w:r w:rsidRPr="00C907D8">
        <w:t xml:space="preserve"> its Colstrip Rate to </w:t>
      </w:r>
      <w:bookmarkStart w:id="6" w:name="_Hlk29467600"/>
      <w:r w:rsidRPr="00C907D8">
        <w:t>$1.01 per kW per month</w:t>
      </w:r>
      <w:bookmarkEnd w:id="6"/>
      <w:r w:rsidRPr="00C907D8">
        <w:t xml:space="preserve">, which </w:t>
      </w:r>
      <w:r w:rsidR="000B686A" w:rsidRPr="00C907D8">
        <w:t>the Commission</w:t>
      </w:r>
      <w:r w:rsidR="00A312DC" w:rsidRPr="00C907D8">
        <w:t xml:space="preserve"> found to be</w:t>
      </w:r>
      <w:r w:rsidRPr="00C907D8">
        <w:t xml:space="preserve"> the just and reasonable rate.</w:t>
      </w:r>
      <w:r w:rsidR="003D5F7F">
        <w:t xml:space="preserve"> </w:t>
      </w:r>
      <w:r w:rsidR="00460C23">
        <w:t xml:space="preserve"> </w:t>
      </w:r>
      <w:r w:rsidR="00460C23" w:rsidRPr="00C907D8">
        <w:t xml:space="preserve">Additionally, consistent with </w:t>
      </w:r>
      <w:r w:rsidR="00460C23">
        <w:t>Portland General’s</w:t>
      </w:r>
      <w:r w:rsidR="00460C23" w:rsidRPr="00C907D8">
        <w:t xml:space="preserve"> commitment,</w:t>
      </w:r>
      <w:r w:rsidR="00460C23">
        <w:t xml:space="preserve"> the Commission directed</w:t>
      </w:r>
      <w:r w:rsidR="00460C23" w:rsidRPr="00C907D8">
        <w:t xml:space="preserve"> Portland General to make refunds of all amounts collected from customers for periods after the March 21, 2018 effective date in excess of the revised Colstrip Rate, with interest.</w:t>
      </w:r>
      <w:r w:rsidR="00460C23">
        <w:rPr>
          <w:rStyle w:val="FootnoteReference"/>
        </w:rPr>
        <w:footnoteReference w:id="15"/>
      </w:r>
      <w:r w:rsidR="00460C23" w:rsidRPr="00C907D8" w:rsidDel="00460C23">
        <w:t xml:space="preserve"> </w:t>
      </w:r>
    </w:p>
    <w:p w14:paraId="713E992F" w14:textId="1A6014C3" w:rsidR="008239FA" w:rsidRPr="00C907D8" w:rsidRDefault="008239FA" w:rsidP="008239FA">
      <w:pPr>
        <w:pStyle w:val="FERCparanumber"/>
      </w:pPr>
      <w:r w:rsidRPr="00C907D8">
        <w:t>On December 5, 2019, Portland General submitted</w:t>
      </w:r>
      <w:r w:rsidR="00460C23">
        <w:t xml:space="preserve">, </w:t>
      </w:r>
      <w:r>
        <w:t>in Docket No. ER20-523-000</w:t>
      </w:r>
      <w:r w:rsidR="00460C23">
        <w:t xml:space="preserve">, its compliance filing to the November 5 Order </w:t>
      </w:r>
      <w:r w:rsidR="00077ABC">
        <w:t xml:space="preserve">that proposes </w:t>
      </w:r>
      <w:r w:rsidRPr="00C907D8">
        <w:t xml:space="preserve">revised </w:t>
      </w:r>
      <w:r>
        <w:t>OATT</w:t>
      </w:r>
      <w:r w:rsidRPr="00C907D8">
        <w:t xml:space="preserve"> records in </w:t>
      </w:r>
      <w:proofErr w:type="spellStart"/>
      <w:r w:rsidRPr="00C907D8">
        <w:t>eTariff</w:t>
      </w:r>
      <w:proofErr w:type="spellEnd"/>
      <w:r w:rsidRPr="00C907D8">
        <w:t xml:space="preserve"> format to implement the Colstrip Rate </w:t>
      </w:r>
      <w:r w:rsidR="00327A38">
        <w:t xml:space="preserve">of </w:t>
      </w:r>
      <w:r w:rsidR="00077ABC">
        <w:t xml:space="preserve">$1.01 per kW per month, </w:t>
      </w:r>
      <w:r w:rsidRPr="00C907D8">
        <w:t xml:space="preserve">effective </w:t>
      </w:r>
      <w:r w:rsidRPr="00C907D8">
        <w:lastRenderedPageBreak/>
        <w:t>March 21, 2018.  Additionally, Portland General filed a refund report documenting refunds for amounts collected in excess of the revised Colstrip Rate.</w:t>
      </w:r>
      <w:r w:rsidR="005F1B49">
        <w:rPr>
          <w:rStyle w:val="FootnoteReference"/>
        </w:rPr>
        <w:footnoteReference w:id="16"/>
      </w:r>
    </w:p>
    <w:p w14:paraId="09879B6A" w14:textId="11A4CEF7" w:rsidR="008239FA" w:rsidRPr="00C907D8" w:rsidRDefault="008239FA" w:rsidP="008239FA">
      <w:pPr>
        <w:pStyle w:val="FERCparanumber"/>
      </w:pPr>
      <w:r w:rsidRPr="00C907D8">
        <w:t>Portland General’s refund report applies the $1.01 per kW per month Colstrip Rate and covers the period from March 31, 2018 through the most recently executed billing period ending in October 31, 2019.</w:t>
      </w:r>
      <w:r w:rsidR="001E1AB0">
        <w:t xml:space="preserve">  </w:t>
      </w:r>
      <w:r w:rsidRPr="00C907D8">
        <w:t>Portland General states that it will issue the refunds, with interest, to its transmission customer that has taken service under its Schedule 9 since the effective date of the revised rate, which is Portland General’s marketing function.</w:t>
      </w:r>
      <w:r w:rsidR="005F1B49">
        <w:rPr>
          <w:rStyle w:val="FootnoteReference"/>
        </w:rPr>
        <w:footnoteReference w:id="17"/>
      </w:r>
    </w:p>
    <w:p w14:paraId="10449839" w14:textId="40739063" w:rsidR="00B438B8" w:rsidRPr="00C907D8" w:rsidRDefault="00B438B8" w:rsidP="00C907D8">
      <w:pPr>
        <w:pStyle w:val="FERCparanumber"/>
      </w:pPr>
      <w:r w:rsidRPr="00C907D8">
        <w:t xml:space="preserve">Notice of </w:t>
      </w:r>
      <w:r w:rsidR="001D4CA3" w:rsidRPr="00C907D8">
        <w:t>Portland General’s</w:t>
      </w:r>
      <w:r w:rsidR="004411EC" w:rsidRPr="00C907D8">
        <w:t xml:space="preserve"> December 5, 2019</w:t>
      </w:r>
      <w:r w:rsidRPr="00C907D8">
        <w:t xml:space="preserve"> filing was published in the </w:t>
      </w:r>
      <w:r w:rsidRPr="00C907D8">
        <w:rPr>
          <w:i/>
        </w:rPr>
        <w:t>Federal Register</w:t>
      </w:r>
      <w:r w:rsidRPr="00C907D8">
        <w:t xml:space="preserve">, </w:t>
      </w:r>
      <w:r w:rsidR="00CC54D9" w:rsidRPr="00C907D8">
        <w:t>84</w:t>
      </w:r>
      <w:r w:rsidRPr="00C907D8">
        <w:t xml:space="preserve"> Fed. Reg. </w:t>
      </w:r>
      <w:r w:rsidR="00CC54D9" w:rsidRPr="00C907D8">
        <w:t>67,740</w:t>
      </w:r>
      <w:r w:rsidRPr="00C907D8">
        <w:t xml:space="preserve"> (201</w:t>
      </w:r>
      <w:r w:rsidR="004411EC" w:rsidRPr="00C907D8">
        <w:t>9</w:t>
      </w:r>
      <w:r w:rsidRPr="00C907D8">
        <w:t>) with interventions and protests due on or before</w:t>
      </w:r>
      <w:r w:rsidR="001D4CA3" w:rsidRPr="00C907D8">
        <w:t xml:space="preserve"> December 26</w:t>
      </w:r>
      <w:r w:rsidR="006A3CDB" w:rsidRPr="00C907D8">
        <w:t>,</w:t>
      </w:r>
      <w:r w:rsidRPr="00C907D8">
        <w:t xml:space="preserve"> 2019.  None was filed.</w:t>
      </w:r>
    </w:p>
    <w:p w14:paraId="08AF5610" w14:textId="0253862C" w:rsidR="004C388A" w:rsidRPr="00C907D8" w:rsidRDefault="00E40513" w:rsidP="00C907D8">
      <w:pPr>
        <w:pStyle w:val="FERCparanumber"/>
      </w:pPr>
      <w:r w:rsidRPr="00C907D8">
        <w:t>W</w:t>
      </w:r>
      <w:r w:rsidR="004C388A" w:rsidRPr="00C907D8">
        <w:t>e</w:t>
      </w:r>
      <w:r w:rsidRPr="00C907D8">
        <w:t xml:space="preserve"> find that</w:t>
      </w:r>
      <w:r w:rsidR="004C422D" w:rsidRPr="00C907D8">
        <w:t xml:space="preserve"> </w:t>
      </w:r>
      <w:r w:rsidR="0081222E" w:rsidRPr="00C907D8">
        <w:t>Portland General’s</w:t>
      </w:r>
      <w:r w:rsidR="00214157" w:rsidRPr="00C907D8">
        <w:t xml:space="preserve"> </w:t>
      </w:r>
      <w:r w:rsidR="008239FA">
        <w:t xml:space="preserve">proposed OATT revisions reducing its </w:t>
      </w:r>
      <w:r w:rsidR="001E1AB0">
        <w:t xml:space="preserve">       </w:t>
      </w:r>
      <w:r w:rsidR="008239FA">
        <w:t xml:space="preserve">Colstrip Rate </w:t>
      </w:r>
      <w:r w:rsidR="008239FA" w:rsidRPr="00C907D8">
        <w:t>to $1.01 per kW per month</w:t>
      </w:r>
      <w:r w:rsidR="008239FA">
        <w:t xml:space="preserve"> and its refund report</w:t>
      </w:r>
      <w:r w:rsidR="00BF2B46">
        <w:t xml:space="preserve">, which documents </w:t>
      </w:r>
      <w:r w:rsidR="001E1AB0">
        <w:t xml:space="preserve">         </w:t>
      </w:r>
      <w:r w:rsidR="00BF2B46">
        <w:t>the refunds for amounts collected in excess of that revised rate,</w:t>
      </w:r>
      <w:r w:rsidR="008239FA">
        <w:t xml:space="preserve"> </w:t>
      </w:r>
      <w:r w:rsidR="003373CA" w:rsidRPr="00C907D8">
        <w:t>compl</w:t>
      </w:r>
      <w:r w:rsidR="0056392C">
        <w:t>y</w:t>
      </w:r>
      <w:r w:rsidR="003373CA" w:rsidRPr="00C907D8">
        <w:t xml:space="preserve"> with the Commission’s directive</w:t>
      </w:r>
      <w:r w:rsidR="008239FA">
        <w:t>s</w:t>
      </w:r>
      <w:r w:rsidR="003373CA" w:rsidRPr="00C907D8">
        <w:t xml:space="preserve"> in the November 5 Order</w:t>
      </w:r>
      <w:r w:rsidR="004673E6" w:rsidRPr="00C907D8">
        <w:t>.</w:t>
      </w:r>
      <w:r w:rsidR="0091420F" w:rsidRPr="00C907D8">
        <w:t xml:space="preserve">  </w:t>
      </w:r>
      <w:r w:rsidR="004C422D" w:rsidRPr="00C907D8">
        <w:t>W</w:t>
      </w:r>
      <w:r w:rsidR="00E11188" w:rsidRPr="00C907D8">
        <w:t xml:space="preserve">e therefore </w:t>
      </w:r>
      <w:r w:rsidR="004C422D" w:rsidRPr="00C907D8">
        <w:t xml:space="preserve">accept </w:t>
      </w:r>
      <w:r w:rsidR="00A67274" w:rsidRPr="00C907D8">
        <w:t>Portland General</w:t>
      </w:r>
      <w:r w:rsidR="0091420F" w:rsidRPr="00C907D8">
        <w:t>’</w:t>
      </w:r>
      <w:r w:rsidR="00B438B8" w:rsidRPr="00C907D8">
        <w:t>s</w:t>
      </w:r>
      <w:r w:rsidR="004C422D" w:rsidRPr="00C907D8">
        <w:t xml:space="preserve"> </w:t>
      </w:r>
      <w:r w:rsidR="0091420F" w:rsidRPr="00C907D8">
        <w:t>proposed</w:t>
      </w:r>
      <w:r w:rsidR="004C422D" w:rsidRPr="00C907D8">
        <w:t xml:space="preserve"> revis</w:t>
      </w:r>
      <w:r w:rsidR="00B438B8" w:rsidRPr="00C907D8">
        <w:t xml:space="preserve">ions to its </w:t>
      </w:r>
      <w:r w:rsidR="0091420F" w:rsidRPr="00C907D8">
        <w:t xml:space="preserve">stated transmission </w:t>
      </w:r>
      <w:r w:rsidR="00BF1B54" w:rsidRPr="00C907D8">
        <w:t>rate</w:t>
      </w:r>
      <w:r w:rsidR="0091420F" w:rsidRPr="00C907D8">
        <w:t xml:space="preserve"> for </w:t>
      </w:r>
      <w:r w:rsidR="00CC54D9" w:rsidRPr="00C907D8">
        <w:t xml:space="preserve">its </w:t>
      </w:r>
      <w:r w:rsidR="00A67274" w:rsidRPr="00C907D8">
        <w:t>Colstrip</w:t>
      </w:r>
      <w:r w:rsidR="0091420F" w:rsidRPr="00C907D8">
        <w:t xml:space="preserve"> </w:t>
      </w:r>
      <w:r w:rsidR="00CC54D9" w:rsidRPr="00C907D8">
        <w:t xml:space="preserve">transmission system </w:t>
      </w:r>
      <w:r w:rsidR="0091420F" w:rsidRPr="00C907D8">
        <w:t xml:space="preserve">under its </w:t>
      </w:r>
      <w:r w:rsidR="00B438B8" w:rsidRPr="00C907D8">
        <w:t>OATT</w:t>
      </w:r>
      <w:r w:rsidR="004C422D" w:rsidRPr="00C907D8">
        <w:t xml:space="preserve">, effective March </w:t>
      </w:r>
      <w:r w:rsidR="00214157" w:rsidRPr="00C907D8">
        <w:t xml:space="preserve">21, </w:t>
      </w:r>
      <w:r w:rsidR="004C422D" w:rsidRPr="00662E76">
        <w:t>2018,</w:t>
      </w:r>
      <w:r w:rsidR="00E11188" w:rsidRPr="00662E76">
        <w:t xml:space="preserve"> </w:t>
      </w:r>
      <w:r w:rsidR="00AB4177" w:rsidRPr="00662E76">
        <w:t xml:space="preserve">and its refund report, </w:t>
      </w:r>
      <w:r w:rsidR="00E11188" w:rsidRPr="00662E76">
        <w:t>and terminate</w:t>
      </w:r>
      <w:r w:rsidR="00E11188" w:rsidRPr="00C907D8">
        <w:t xml:space="preserve"> the proceeding </w:t>
      </w:r>
      <w:r w:rsidR="0056392C">
        <w:t xml:space="preserve">instituted under FPA section 206 </w:t>
      </w:r>
      <w:r w:rsidR="00E11188" w:rsidRPr="00C907D8">
        <w:t>in Docket No. EL18</w:t>
      </w:r>
      <w:r w:rsidR="009F634A" w:rsidRPr="00C907D8">
        <w:noBreakHyphen/>
      </w:r>
      <w:r w:rsidR="00B438B8" w:rsidRPr="00C907D8">
        <w:t>1</w:t>
      </w:r>
      <w:r w:rsidR="006B607E" w:rsidRPr="00C907D8">
        <w:t>09</w:t>
      </w:r>
      <w:r w:rsidR="009F634A" w:rsidRPr="00C907D8">
        <w:noBreakHyphen/>
      </w:r>
      <w:r w:rsidR="00E11188" w:rsidRPr="00C907D8">
        <w:t>000.</w:t>
      </w:r>
    </w:p>
    <w:p w14:paraId="4985575D" w14:textId="1E734A52" w:rsidR="0021254E" w:rsidRDefault="00C74A76" w:rsidP="00514D99">
      <w:r w:rsidRPr="00C907D8">
        <w:t>By direction of the Commission</w:t>
      </w:r>
      <w:r w:rsidR="0021254E" w:rsidRPr="00C907D8">
        <w:t>.</w:t>
      </w:r>
    </w:p>
    <w:p w14:paraId="47F6FE82" w14:textId="698EAF72" w:rsidR="00514D99" w:rsidRDefault="00514D99" w:rsidP="00514D99"/>
    <w:p w14:paraId="0C1C9DB3" w14:textId="76B911FB" w:rsidR="005B5AA9" w:rsidRDefault="00514D99" w:rsidP="005B5AA9">
      <w:pPr>
        <w:widowControl/>
      </w:pPr>
      <w:proofErr w:type="gramStart"/>
      <w:r w:rsidRPr="00514D99">
        <w:t>( S</w:t>
      </w:r>
      <w:proofErr w:type="gramEnd"/>
      <w:r w:rsidRPr="00514D99">
        <w:t xml:space="preserve"> E A L )</w:t>
      </w:r>
    </w:p>
    <w:p w14:paraId="34F3C2BF" w14:textId="0682D6E8" w:rsidR="005B5AA9" w:rsidRDefault="005B5AA9" w:rsidP="005B5AA9">
      <w:pPr>
        <w:widowControl/>
      </w:pPr>
    </w:p>
    <w:p w14:paraId="647B3AA0" w14:textId="6684FCBD" w:rsidR="005B5AA9" w:rsidRDefault="005B5AA9" w:rsidP="005B5AA9">
      <w:pPr>
        <w:widowControl/>
      </w:pPr>
    </w:p>
    <w:p w14:paraId="16E0DF17" w14:textId="4BDB3592" w:rsidR="005B5AA9" w:rsidRDefault="005B5AA9" w:rsidP="005B5AA9">
      <w:pPr>
        <w:widowControl/>
      </w:pPr>
    </w:p>
    <w:p w14:paraId="33A2EF11" w14:textId="77777777" w:rsidR="005B5AA9" w:rsidRDefault="005B5AA9" w:rsidP="005B5AA9">
      <w:pPr>
        <w:widowControl/>
      </w:pPr>
    </w:p>
    <w:p w14:paraId="1D60E6C9" w14:textId="0C3A5A86" w:rsidR="005B5AA9" w:rsidRPr="005B5AA9" w:rsidRDefault="005B5AA9" w:rsidP="005B5AA9">
      <w:pPr>
        <w:widowControl/>
        <w:ind w:firstLine="2174"/>
        <w:jc w:val="center"/>
      </w:pPr>
      <w:r w:rsidRPr="005B5AA9">
        <w:t>Kimberly D. Bose,</w:t>
      </w:r>
    </w:p>
    <w:p w14:paraId="0C1B3E86" w14:textId="35AF70DE" w:rsidR="005B5AA9" w:rsidRPr="005B5AA9" w:rsidRDefault="005B5AA9" w:rsidP="005B5AA9">
      <w:pPr>
        <w:widowControl/>
        <w:ind w:firstLine="2174"/>
        <w:jc w:val="center"/>
      </w:pPr>
      <w:r w:rsidRPr="005B5AA9">
        <w:t>Secretary.</w:t>
      </w:r>
    </w:p>
    <w:p w14:paraId="39F522AC" w14:textId="2689B23E" w:rsidR="0021254E" w:rsidRPr="00C907D8" w:rsidRDefault="0021254E" w:rsidP="005B5AA9">
      <w:pPr>
        <w:widowControl/>
      </w:pPr>
    </w:p>
    <w:sectPr w:rsidR="0021254E" w:rsidRPr="00C907D8" w:rsidSect="00C74A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A493" w14:textId="77777777" w:rsidR="008953DE" w:rsidRDefault="008953DE" w:rsidP="0048020B">
      <w:r>
        <w:separator/>
      </w:r>
    </w:p>
  </w:endnote>
  <w:endnote w:type="continuationSeparator" w:id="0">
    <w:p w14:paraId="047F6F07" w14:textId="77777777" w:rsidR="008953DE" w:rsidRDefault="008953DE" w:rsidP="0048020B">
      <w:r>
        <w:continuationSeparator/>
      </w:r>
    </w:p>
  </w:endnote>
  <w:endnote w:type="continuationNotice" w:id="1">
    <w:p w14:paraId="789EF4FA" w14:textId="77777777" w:rsidR="008953DE" w:rsidRDefault="0089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ECCA" w14:textId="77777777" w:rsidR="001E1AB0" w:rsidRDefault="001E1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9345" w14:textId="77777777" w:rsidR="001E1AB0" w:rsidRDefault="001E1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CF37" w14:textId="77777777" w:rsidR="001E1AB0" w:rsidRDefault="001E1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E7B2" w14:textId="77777777" w:rsidR="008953DE" w:rsidRDefault="008953DE" w:rsidP="0048020B">
      <w:r>
        <w:separator/>
      </w:r>
    </w:p>
  </w:footnote>
  <w:footnote w:type="continuationSeparator" w:id="0">
    <w:p w14:paraId="23696F55" w14:textId="77777777" w:rsidR="008953DE" w:rsidRDefault="008953DE" w:rsidP="0048020B">
      <w:r>
        <w:continuationSeparator/>
      </w:r>
    </w:p>
  </w:footnote>
  <w:footnote w:type="continuationNotice" w:id="1">
    <w:p w14:paraId="2197253E" w14:textId="7379E8B4" w:rsidR="008953DE" w:rsidRPr="00662E76" w:rsidRDefault="008953DE" w:rsidP="00662E76">
      <w:pPr>
        <w:pStyle w:val="Footer"/>
        <w:spacing w:line="14" w:lineRule="exact"/>
        <w:rPr>
          <w:sz w:val="2"/>
        </w:rPr>
      </w:pPr>
    </w:p>
  </w:footnote>
  <w:footnote w:id="2">
    <w:p w14:paraId="6710956D" w14:textId="77777777" w:rsidR="004E5AE3" w:rsidRDefault="004E5AE3" w:rsidP="004E5AE3">
      <w:pPr>
        <w:pStyle w:val="FootnoteText"/>
      </w:pPr>
      <w:r>
        <w:rPr>
          <w:rStyle w:val="FootnoteReference"/>
        </w:rPr>
        <w:footnoteRef/>
      </w:r>
      <w:r>
        <w:t xml:space="preserve"> On December 9, 2019, Portland General submitted an </w:t>
      </w:r>
      <w:proofErr w:type="gramStart"/>
      <w:r w:rsidRPr="00514D99">
        <w:rPr>
          <w:i/>
          <w:iCs/>
        </w:rPr>
        <w:t>errata</w:t>
      </w:r>
      <w:proofErr w:type="gramEnd"/>
      <w:r>
        <w:t xml:space="preserve"> to correct a calculation error in the initial refund report submission.</w:t>
      </w:r>
    </w:p>
  </w:footnote>
  <w:footnote w:id="3">
    <w:p w14:paraId="3E7C7A50" w14:textId="42B8FD80" w:rsidR="00E32165" w:rsidRPr="00923723" w:rsidRDefault="00E32165" w:rsidP="00E32165">
      <w:pPr>
        <w:pStyle w:val="FootnoteText"/>
      </w:pPr>
      <w:r w:rsidRPr="00285873">
        <w:rPr>
          <w:rStyle w:val="FootnoteReference"/>
        </w:rPr>
        <w:footnoteRef/>
      </w:r>
      <w:r w:rsidRPr="00285873">
        <w:t xml:space="preserve"> </w:t>
      </w:r>
      <w:r w:rsidR="001478F2" w:rsidRPr="00285873">
        <w:rPr>
          <w:i/>
        </w:rPr>
        <w:t>Portland Gen</w:t>
      </w:r>
      <w:r w:rsidR="00610CA0">
        <w:rPr>
          <w:i/>
        </w:rPr>
        <w:t>.</w:t>
      </w:r>
      <w:r w:rsidR="001478F2" w:rsidRPr="00285873">
        <w:rPr>
          <w:i/>
        </w:rPr>
        <w:t xml:space="preserve"> Elec</w:t>
      </w:r>
      <w:r w:rsidR="00610CA0">
        <w:rPr>
          <w:i/>
        </w:rPr>
        <w:t>.</w:t>
      </w:r>
      <w:r w:rsidR="001478F2" w:rsidRPr="00285873">
        <w:rPr>
          <w:i/>
        </w:rPr>
        <w:t xml:space="preserve"> Co</w:t>
      </w:r>
      <w:r w:rsidR="00610CA0">
        <w:rPr>
          <w:i/>
        </w:rPr>
        <w:t>.</w:t>
      </w:r>
      <w:r w:rsidRPr="00285873">
        <w:t>, 16</w:t>
      </w:r>
      <w:r w:rsidR="001478F2" w:rsidRPr="00285873">
        <w:t>9</w:t>
      </w:r>
      <w:r w:rsidRPr="00285873">
        <w:t xml:space="preserve"> FERC </w:t>
      </w:r>
      <w:r w:rsidR="009A01DC" w:rsidRPr="00285873">
        <w:t>¶</w:t>
      </w:r>
      <w:r w:rsidR="009A01DC">
        <w:t> </w:t>
      </w:r>
      <w:r w:rsidR="009A01DC" w:rsidRPr="00285873">
        <w:t>6</w:t>
      </w:r>
      <w:r w:rsidRPr="00285873">
        <w:t>1,09</w:t>
      </w:r>
      <w:r w:rsidR="001478F2" w:rsidRPr="00285873">
        <w:t>6</w:t>
      </w:r>
      <w:r w:rsidRPr="00285873">
        <w:t xml:space="preserve"> (201</w:t>
      </w:r>
      <w:r w:rsidR="001478F2" w:rsidRPr="00285873">
        <w:t>9</w:t>
      </w:r>
      <w:r w:rsidRPr="00285873">
        <w:t xml:space="preserve">) (November 5 </w:t>
      </w:r>
      <w:r w:rsidRPr="00923723">
        <w:t>Order).</w:t>
      </w:r>
    </w:p>
  </w:footnote>
  <w:footnote w:id="4">
    <w:p w14:paraId="486D3125" w14:textId="77777777" w:rsidR="001A0152" w:rsidRDefault="001A0152">
      <w:pPr>
        <w:pStyle w:val="FootnoteText"/>
      </w:pPr>
      <w:r w:rsidRPr="00923723">
        <w:rPr>
          <w:rStyle w:val="FootnoteReference"/>
        </w:rPr>
        <w:footnoteRef/>
      </w:r>
      <w:r w:rsidRPr="00923723">
        <w:t xml:space="preserve"> </w:t>
      </w:r>
      <w:r w:rsidR="00DC1DE4" w:rsidRPr="00923723">
        <w:rPr>
          <w:i/>
        </w:rPr>
        <w:t>Alcoa Power Generating Inc.―Long Sault Division</w:t>
      </w:r>
      <w:r w:rsidR="00DC1DE4" w:rsidRPr="00923723">
        <w:t>, 162 FERC ¶ 61,224 (2018) (Stated Rate Order to Show Cause).</w:t>
      </w:r>
    </w:p>
  </w:footnote>
  <w:footnote w:id="5">
    <w:p w14:paraId="2003295E" w14:textId="0A5D64C2" w:rsidR="00DC1DE4" w:rsidRDefault="00DC1DE4">
      <w:pPr>
        <w:pStyle w:val="FootnoteText"/>
      </w:pPr>
      <w:r>
        <w:rPr>
          <w:rStyle w:val="FootnoteReference"/>
        </w:rPr>
        <w:footnoteRef/>
      </w:r>
      <w:r>
        <w:t xml:space="preserve"> 16 U.S.C. </w:t>
      </w:r>
      <w:r w:rsidR="009A01DC">
        <w:t>§ 8</w:t>
      </w:r>
      <w:r>
        <w:t>24e (201</w:t>
      </w:r>
      <w:r w:rsidR="00BE5802">
        <w:t>8</w:t>
      </w:r>
      <w:r>
        <w:t>).</w:t>
      </w:r>
    </w:p>
  </w:footnote>
  <w:footnote w:id="6">
    <w:p w14:paraId="3456B538" w14:textId="77777777" w:rsidR="001A0152" w:rsidRPr="00F21BB4" w:rsidRDefault="001A0152" w:rsidP="004C388A">
      <w:pPr>
        <w:pStyle w:val="FootnoteText"/>
      </w:pPr>
      <w:r w:rsidRPr="00F21BB4">
        <w:rPr>
          <w:rStyle w:val="FootnoteReference"/>
        </w:rPr>
        <w:footnoteRef/>
      </w:r>
      <w:r w:rsidRPr="00F21BB4">
        <w:t xml:space="preserve"> Tax Cuts &amp; Jobs Act, Pub. L. No. 115-97, 131 Stat. 2054 (2017).</w:t>
      </w:r>
    </w:p>
  </w:footnote>
  <w:footnote w:id="7">
    <w:p w14:paraId="7D72F66A" w14:textId="77777777" w:rsidR="001A0152" w:rsidRDefault="001A01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C1DE4">
        <w:t>Stated Rate Order to Show Cause</w:t>
      </w:r>
      <w:r w:rsidRPr="006526C5">
        <w:t>, 162 FERC ¶</w:t>
      </w:r>
      <w:r>
        <w:t> </w:t>
      </w:r>
      <w:r w:rsidRPr="006526C5">
        <w:t>61,224</w:t>
      </w:r>
      <w:r>
        <w:t>.</w:t>
      </w:r>
    </w:p>
  </w:footnote>
  <w:footnote w:id="8">
    <w:p w14:paraId="41BA73AA" w14:textId="76B1ED7A" w:rsidR="00C62F75" w:rsidRDefault="00C62F75" w:rsidP="00C62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Del="006C541A">
        <w:t xml:space="preserve">Portland </w:t>
      </w:r>
      <w:r>
        <w:t>General</w:t>
      </w:r>
      <w:r w:rsidR="008239FA">
        <w:t>,</w:t>
      </w:r>
      <w:r>
        <w:t xml:space="preserve"> Initial Response</w:t>
      </w:r>
      <w:r w:rsidR="008239FA">
        <w:t>, Docket No. EL18-109-000,</w:t>
      </w:r>
      <w:r>
        <w:t xml:space="preserve"> at 8</w:t>
      </w:r>
      <w:r w:rsidR="008239FA">
        <w:t xml:space="preserve"> </w:t>
      </w:r>
      <w:r w:rsidR="00514D99">
        <w:t xml:space="preserve">          </w:t>
      </w:r>
      <w:proofErr w:type="gramStart"/>
      <w:r w:rsidR="00514D99">
        <w:t xml:space="preserve">   </w:t>
      </w:r>
      <w:r w:rsidR="008239FA">
        <w:t>(</w:t>
      </w:r>
      <w:proofErr w:type="gramEnd"/>
      <w:r w:rsidR="008239FA">
        <w:t>filed</w:t>
      </w:r>
      <w:r w:rsidR="00514D99">
        <w:t xml:space="preserve"> </w:t>
      </w:r>
      <w:r w:rsidR="005B0E3D">
        <w:t>May 14, 2018)</w:t>
      </w:r>
      <w:r>
        <w:t xml:space="preserve">. </w:t>
      </w:r>
    </w:p>
  </w:footnote>
  <w:footnote w:id="9">
    <w:p w14:paraId="28F42922" w14:textId="77777777" w:rsidR="00C62F75" w:rsidRDefault="00C62F75" w:rsidP="00C62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  <w:r w:rsidRPr="009A01DC">
        <w:t xml:space="preserve"> </w:t>
      </w:r>
      <w:r>
        <w:t>at 1-2, 11-12.</w:t>
      </w:r>
    </w:p>
  </w:footnote>
  <w:footnote w:id="10">
    <w:p w14:paraId="39DAD82A" w14:textId="77777777" w:rsidR="00C62F75" w:rsidRDefault="00C62F75" w:rsidP="00C62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  <w:r w:rsidRPr="009A01DC">
        <w:t xml:space="preserve"> </w:t>
      </w:r>
      <w:r>
        <w:t>at 2, 11-12.</w:t>
      </w:r>
    </w:p>
  </w:footnote>
  <w:footnote w:id="11">
    <w:p w14:paraId="1BA3A2CB" w14:textId="77777777" w:rsidR="00C62F75" w:rsidRDefault="00C62F75" w:rsidP="00C62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  <w:r w:rsidRPr="009A01DC">
        <w:t xml:space="preserve"> </w:t>
      </w:r>
      <w:r>
        <w:t>at 12-13.</w:t>
      </w:r>
    </w:p>
  </w:footnote>
  <w:footnote w:id="12">
    <w:p w14:paraId="6FA90FEC" w14:textId="7F68B74D" w:rsidR="00C62F75" w:rsidRDefault="00C62F75" w:rsidP="00C62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312F">
        <w:rPr>
          <w:i/>
        </w:rPr>
        <w:t>Portland Gen</w:t>
      </w:r>
      <w:r>
        <w:rPr>
          <w:i/>
        </w:rPr>
        <w:t>.</w:t>
      </w:r>
      <w:r w:rsidRPr="0020312F">
        <w:rPr>
          <w:i/>
        </w:rPr>
        <w:t xml:space="preserve"> Elec</w:t>
      </w:r>
      <w:r>
        <w:rPr>
          <w:i/>
        </w:rPr>
        <w:t>.</w:t>
      </w:r>
      <w:r w:rsidRPr="0020312F">
        <w:rPr>
          <w:i/>
        </w:rPr>
        <w:t xml:space="preserve"> Co.</w:t>
      </w:r>
      <w:r>
        <w:t xml:space="preserve">, 165 FERC </w:t>
      </w:r>
      <w:r w:rsidR="009A01DC">
        <w:t>¶ 6</w:t>
      </w:r>
      <w:r>
        <w:t>1,129 (2018).</w:t>
      </w:r>
    </w:p>
  </w:footnote>
  <w:footnote w:id="13">
    <w:p w14:paraId="43D4CA31" w14:textId="3033D1B1" w:rsidR="00C62F75" w:rsidRDefault="00C62F75" w:rsidP="00C62F75">
      <w:pPr>
        <w:pStyle w:val="FootnoteText"/>
      </w:pPr>
      <w:r>
        <w:rPr>
          <w:rStyle w:val="FootnoteReference"/>
        </w:rPr>
        <w:footnoteRef/>
      </w:r>
      <w:r>
        <w:t xml:space="preserve"> Portland General</w:t>
      </w:r>
      <w:r w:rsidR="005B0E3D">
        <w:t>,</w:t>
      </w:r>
      <w:r>
        <w:t xml:space="preserve"> Supplemental Response</w:t>
      </w:r>
      <w:r w:rsidR="005B0E3D">
        <w:t>, Docket No. EL18-109-000</w:t>
      </w:r>
      <w:r>
        <w:t xml:space="preserve"> at 5</w:t>
      </w:r>
      <w:proofErr w:type="gramStart"/>
      <w:r w:rsidR="005B0E3D">
        <w:t xml:space="preserve"> </w:t>
      </w:r>
      <w:r w:rsidR="001E1AB0">
        <w:t xml:space="preserve">  </w:t>
      </w:r>
      <w:r w:rsidR="005B0E3D">
        <w:t>(</w:t>
      </w:r>
      <w:proofErr w:type="gramEnd"/>
      <w:r w:rsidR="005B0E3D">
        <w:t>filed July 25, 2019)</w:t>
      </w:r>
      <w:r>
        <w:t>.</w:t>
      </w:r>
    </w:p>
  </w:footnote>
  <w:footnote w:id="14">
    <w:p w14:paraId="429FBACA" w14:textId="3D43F680" w:rsidR="00AF4B4A" w:rsidRDefault="00AF4B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4B4A">
        <w:rPr>
          <w:i/>
        </w:rPr>
        <w:t>Id.</w:t>
      </w:r>
      <w:r>
        <w:t xml:space="preserve"> at 5-6.</w:t>
      </w:r>
    </w:p>
  </w:footnote>
  <w:footnote w:id="15">
    <w:p w14:paraId="3F13BC47" w14:textId="77777777" w:rsidR="00460C23" w:rsidRDefault="00460C23" w:rsidP="00460C23">
      <w:pPr>
        <w:pStyle w:val="FootnoteText"/>
      </w:pPr>
      <w:r>
        <w:rPr>
          <w:rStyle w:val="FootnoteReference"/>
        </w:rPr>
        <w:footnoteRef/>
      </w:r>
      <w:r>
        <w:t xml:space="preserve"> November 5 Order, </w:t>
      </w:r>
      <w:r w:rsidRPr="005F1B49">
        <w:t>169 FERC ¶ 61,096</w:t>
      </w:r>
      <w:r>
        <w:t xml:space="preserve"> at PP 12-15.  </w:t>
      </w:r>
    </w:p>
  </w:footnote>
  <w:footnote w:id="16">
    <w:p w14:paraId="5719EC57" w14:textId="5D9B67AE" w:rsidR="005F1B49" w:rsidRDefault="005F1B49" w:rsidP="001E1AB0">
      <w:pPr>
        <w:pStyle w:val="FootnoteText"/>
        <w:widowControl/>
      </w:pPr>
      <w:r>
        <w:rPr>
          <w:rStyle w:val="FootnoteReference"/>
        </w:rPr>
        <w:footnoteRef/>
      </w:r>
      <w:r>
        <w:t xml:space="preserve"> Portland General, Compliance Filing, Docket No. ER20-523-000, at 1 </w:t>
      </w:r>
      <w:r w:rsidR="001E1AB0">
        <w:t xml:space="preserve">      </w:t>
      </w:r>
      <w:proofErr w:type="gramStart"/>
      <w:r w:rsidR="001E1AB0">
        <w:t xml:space="preserve">   </w:t>
      </w:r>
      <w:r>
        <w:t>(</w:t>
      </w:r>
      <w:proofErr w:type="gramEnd"/>
      <w:r>
        <w:t>filed December 5, 2019).</w:t>
      </w:r>
    </w:p>
  </w:footnote>
  <w:footnote w:id="17">
    <w:p w14:paraId="6D27D5D3" w14:textId="13893BBE" w:rsidR="005F1B49" w:rsidRDefault="005F1B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4B4A">
        <w:rPr>
          <w:i/>
        </w:rPr>
        <w:t>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277C" w14:textId="77777777" w:rsidR="001A0152" w:rsidRDefault="001A0152" w:rsidP="00C43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921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18FD7FAA" w14:textId="77777777" w:rsidR="001A0152" w:rsidRDefault="001A0152" w:rsidP="00C432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350F" w14:textId="21BB7B76" w:rsidR="006220A1" w:rsidRDefault="006220A1" w:rsidP="006220A1">
    <w:pPr>
      <w:pStyle w:val="Header"/>
      <w:tabs>
        <w:tab w:val="clear" w:pos="4680"/>
      </w:tabs>
      <w:spacing w:after="240"/>
    </w:pPr>
    <w:r>
      <w:t xml:space="preserve">Docket Nos. EL18-109-000 and ER20-523-000 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- 2 -</w:t>
    </w:r>
    <w:r>
      <w:fldChar w:fldCharType="end"/>
    </w:r>
  </w:p>
  <w:p w14:paraId="2AA73160" w14:textId="01BF00E9" w:rsidR="001A0152" w:rsidRDefault="0021254E" w:rsidP="0021254E"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80E9" w14:textId="77777777" w:rsidR="001A0152" w:rsidRDefault="001A0152" w:rsidP="00EC3F55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926A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9AAD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D240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AD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CEEC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AF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0A8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72D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D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861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CD3"/>
    <w:multiLevelType w:val="hybridMultilevel"/>
    <w:tmpl w:val="64A0B718"/>
    <w:lvl w:ilvl="0" w:tplc="87ECED62">
      <w:start w:val="7"/>
      <w:numFmt w:val="bullet"/>
      <w:lvlText w:val="-"/>
      <w:lvlJc w:val="left"/>
      <w:pPr>
        <w:ind w:left="93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1" w15:restartNumberingAfterBreak="0">
    <w:nsid w:val="0AD240F1"/>
    <w:multiLevelType w:val="hybridMultilevel"/>
    <w:tmpl w:val="CFBE3900"/>
    <w:lvl w:ilvl="0" w:tplc="1FFE9ADE">
      <w:start w:val="7"/>
      <w:numFmt w:val="bullet"/>
      <w:lvlText w:val="-"/>
      <w:lvlJc w:val="left"/>
      <w:pPr>
        <w:ind w:left="9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12" w15:restartNumberingAfterBreak="0">
    <w:nsid w:val="13B11278"/>
    <w:multiLevelType w:val="hybridMultilevel"/>
    <w:tmpl w:val="8158AD8E"/>
    <w:lvl w:ilvl="0" w:tplc="B478E46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6194"/>
    <w:multiLevelType w:val="multilevel"/>
    <w:tmpl w:val="5F3ACA38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Zero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4" w15:restartNumberingAfterBreak="0">
    <w:nsid w:val="1E5A2883"/>
    <w:multiLevelType w:val="hybridMultilevel"/>
    <w:tmpl w:val="543635AE"/>
    <w:lvl w:ilvl="0" w:tplc="54246274">
      <w:start w:val="7"/>
      <w:numFmt w:val="bullet"/>
      <w:lvlText w:val="-"/>
      <w:lvlJc w:val="left"/>
      <w:pPr>
        <w:ind w:left="93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5" w15:restartNumberingAfterBreak="0">
    <w:nsid w:val="5B6502FF"/>
    <w:multiLevelType w:val="multilevel"/>
    <w:tmpl w:val="42787ABA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6646187"/>
    <w:multiLevelType w:val="hybridMultilevel"/>
    <w:tmpl w:val="9DCC217A"/>
    <w:lvl w:ilvl="0" w:tplc="D43ED73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E760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06E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D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4A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2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A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2B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A48D3"/>
    <w:multiLevelType w:val="multilevel"/>
    <w:tmpl w:val="D4FA253C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D3B09D3"/>
    <w:multiLevelType w:val="hybridMultilevel"/>
    <w:tmpl w:val="B0DEDC6E"/>
    <w:lvl w:ilvl="0" w:tplc="84E61568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DD3"/>
    <w:multiLevelType w:val="hybridMultilevel"/>
    <w:tmpl w:val="ED2073C2"/>
    <w:lvl w:ilvl="0" w:tplc="D4323D40">
      <w:start w:val="1"/>
      <w:numFmt w:val="decimal"/>
      <w:pStyle w:val="Non-TOCStyl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76"/>
    <w:rsid w:val="00003340"/>
    <w:rsid w:val="0000731D"/>
    <w:rsid w:val="00010FA6"/>
    <w:rsid w:val="000118C8"/>
    <w:rsid w:val="0001254D"/>
    <w:rsid w:val="000143AA"/>
    <w:rsid w:val="0002042F"/>
    <w:rsid w:val="00022A33"/>
    <w:rsid w:val="00025936"/>
    <w:rsid w:val="00026815"/>
    <w:rsid w:val="000371C3"/>
    <w:rsid w:val="000428C4"/>
    <w:rsid w:val="000550DC"/>
    <w:rsid w:val="00055F5F"/>
    <w:rsid w:val="0005775F"/>
    <w:rsid w:val="00070857"/>
    <w:rsid w:val="000737CB"/>
    <w:rsid w:val="00075422"/>
    <w:rsid w:val="0007583E"/>
    <w:rsid w:val="0007636C"/>
    <w:rsid w:val="00077ABC"/>
    <w:rsid w:val="0008478C"/>
    <w:rsid w:val="00084A31"/>
    <w:rsid w:val="00086D98"/>
    <w:rsid w:val="0008778D"/>
    <w:rsid w:val="000901C7"/>
    <w:rsid w:val="00092634"/>
    <w:rsid w:val="00097C05"/>
    <w:rsid w:val="000A3D2F"/>
    <w:rsid w:val="000A6835"/>
    <w:rsid w:val="000B4124"/>
    <w:rsid w:val="000B686A"/>
    <w:rsid w:val="000B7E62"/>
    <w:rsid w:val="000C0253"/>
    <w:rsid w:val="000C1FCA"/>
    <w:rsid w:val="000C41C7"/>
    <w:rsid w:val="000D0EE6"/>
    <w:rsid w:val="000D1D4B"/>
    <w:rsid w:val="000D1FB6"/>
    <w:rsid w:val="000D6147"/>
    <w:rsid w:val="000D6E61"/>
    <w:rsid w:val="000D739B"/>
    <w:rsid w:val="000D7DD4"/>
    <w:rsid w:val="000D7E96"/>
    <w:rsid w:val="000E0857"/>
    <w:rsid w:val="000E2BFA"/>
    <w:rsid w:val="000F2DC1"/>
    <w:rsid w:val="000F372C"/>
    <w:rsid w:val="000F603B"/>
    <w:rsid w:val="000F6C7F"/>
    <w:rsid w:val="00100E1B"/>
    <w:rsid w:val="00101107"/>
    <w:rsid w:val="0010290F"/>
    <w:rsid w:val="00106A8B"/>
    <w:rsid w:val="00107701"/>
    <w:rsid w:val="00111D81"/>
    <w:rsid w:val="0011641D"/>
    <w:rsid w:val="00120400"/>
    <w:rsid w:val="00120603"/>
    <w:rsid w:val="001209EF"/>
    <w:rsid w:val="00124C66"/>
    <w:rsid w:val="0012713F"/>
    <w:rsid w:val="00130CCE"/>
    <w:rsid w:val="00132D57"/>
    <w:rsid w:val="001421AA"/>
    <w:rsid w:val="00144FFD"/>
    <w:rsid w:val="00146A50"/>
    <w:rsid w:val="00147476"/>
    <w:rsid w:val="001476F1"/>
    <w:rsid w:val="001478F2"/>
    <w:rsid w:val="001520D4"/>
    <w:rsid w:val="001549DE"/>
    <w:rsid w:val="00154C7A"/>
    <w:rsid w:val="0017046F"/>
    <w:rsid w:val="001741A9"/>
    <w:rsid w:val="0017696A"/>
    <w:rsid w:val="00183700"/>
    <w:rsid w:val="0018758C"/>
    <w:rsid w:val="00191617"/>
    <w:rsid w:val="00191CD8"/>
    <w:rsid w:val="0019292E"/>
    <w:rsid w:val="001960DD"/>
    <w:rsid w:val="001A0152"/>
    <w:rsid w:val="001A2AF1"/>
    <w:rsid w:val="001A33D6"/>
    <w:rsid w:val="001B042B"/>
    <w:rsid w:val="001B1E72"/>
    <w:rsid w:val="001B1FE9"/>
    <w:rsid w:val="001B2C6D"/>
    <w:rsid w:val="001B362D"/>
    <w:rsid w:val="001B4FB2"/>
    <w:rsid w:val="001C2FBB"/>
    <w:rsid w:val="001C4532"/>
    <w:rsid w:val="001D264B"/>
    <w:rsid w:val="001D2658"/>
    <w:rsid w:val="001D3B0D"/>
    <w:rsid w:val="001D4CA3"/>
    <w:rsid w:val="001D7927"/>
    <w:rsid w:val="001E1AB0"/>
    <w:rsid w:val="001E59F9"/>
    <w:rsid w:val="001F0A5D"/>
    <w:rsid w:val="001F51A0"/>
    <w:rsid w:val="001F5AE6"/>
    <w:rsid w:val="001F5CC6"/>
    <w:rsid w:val="00203911"/>
    <w:rsid w:val="00205615"/>
    <w:rsid w:val="002072CF"/>
    <w:rsid w:val="00211765"/>
    <w:rsid w:val="0021254E"/>
    <w:rsid w:val="002136E7"/>
    <w:rsid w:val="00214157"/>
    <w:rsid w:val="002206DB"/>
    <w:rsid w:val="002217B8"/>
    <w:rsid w:val="00224859"/>
    <w:rsid w:val="00225A12"/>
    <w:rsid w:val="002352B0"/>
    <w:rsid w:val="002354E4"/>
    <w:rsid w:val="00240493"/>
    <w:rsid w:val="00242580"/>
    <w:rsid w:val="00255417"/>
    <w:rsid w:val="00257989"/>
    <w:rsid w:val="00262FED"/>
    <w:rsid w:val="00267328"/>
    <w:rsid w:val="00272E3B"/>
    <w:rsid w:val="002817CE"/>
    <w:rsid w:val="00283AA6"/>
    <w:rsid w:val="00285873"/>
    <w:rsid w:val="00290ABD"/>
    <w:rsid w:val="002911C8"/>
    <w:rsid w:val="00291671"/>
    <w:rsid w:val="00294BAC"/>
    <w:rsid w:val="002A0B4A"/>
    <w:rsid w:val="002A2947"/>
    <w:rsid w:val="002A34C1"/>
    <w:rsid w:val="002A5C43"/>
    <w:rsid w:val="002A729E"/>
    <w:rsid w:val="002A7FB5"/>
    <w:rsid w:val="002B1B25"/>
    <w:rsid w:val="002B35F2"/>
    <w:rsid w:val="002C57E5"/>
    <w:rsid w:val="002C7704"/>
    <w:rsid w:val="002D206A"/>
    <w:rsid w:val="002D358E"/>
    <w:rsid w:val="002D65B3"/>
    <w:rsid w:val="002D680F"/>
    <w:rsid w:val="002D7D6B"/>
    <w:rsid w:val="002E0EFD"/>
    <w:rsid w:val="002E2142"/>
    <w:rsid w:val="002E4E8A"/>
    <w:rsid w:val="002E4F06"/>
    <w:rsid w:val="002F0E81"/>
    <w:rsid w:val="002F1939"/>
    <w:rsid w:val="002F52A9"/>
    <w:rsid w:val="00301D68"/>
    <w:rsid w:val="003031DA"/>
    <w:rsid w:val="00310FAD"/>
    <w:rsid w:val="00313634"/>
    <w:rsid w:val="00315BB5"/>
    <w:rsid w:val="00316EBA"/>
    <w:rsid w:val="00322F05"/>
    <w:rsid w:val="00324F79"/>
    <w:rsid w:val="00327401"/>
    <w:rsid w:val="00327A38"/>
    <w:rsid w:val="0033238E"/>
    <w:rsid w:val="00335933"/>
    <w:rsid w:val="003373CA"/>
    <w:rsid w:val="003437BD"/>
    <w:rsid w:val="00343D67"/>
    <w:rsid w:val="003478CF"/>
    <w:rsid w:val="00350E98"/>
    <w:rsid w:val="00350FC8"/>
    <w:rsid w:val="003520AD"/>
    <w:rsid w:val="00360AA1"/>
    <w:rsid w:val="00364E6F"/>
    <w:rsid w:val="0036500A"/>
    <w:rsid w:val="00365482"/>
    <w:rsid w:val="00374532"/>
    <w:rsid w:val="00374857"/>
    <w:rsid w:val="00374868"/>
    <w:rsid w:val="00375DF4"/>
    <w:rsid w:val="003830CE"/>
    <w:rsid w:val="00385E2D"/>
    <w:rsid w:val="00387887"/>
    <w:rsid w:val="0039262E"/>
    <w:rsid w:val="003937F3"/>
    <w:rsid w:val="003A15D6"/>
    <w:rsid w:val="003A30EC"/>
    <w:rsid w:val="003A5145"/>
    <w:rsid w:val="003B23A2"/>
    <w:rsid w:val="003B2445"/>
    <w:rsid w:val="003B7F05"/>
    <w:rsid w:val="003C3A1E"/>
    <w:rsid w:val="003C505B"/>
    <w:rsid w:val="003C71CF"/>
    <w:rsid w:val="003C789D"/>
    <w:rsid w:val="003D1927"/>
    <w:rsid w:val="003D19C0"/>
    <w:rsid w:val="003D5827"/>
    <w:rsid w:val="003D5F7F"/>
    <w:rsid w:val="003E0737"/>
    <w:rsid w:val="003E1917"/>
    <w:rsid w:val="003E259A"/>
    <w:rsid w:val="003E5211"/>
    <w:rsid w:val="003F31D2"/>
    <w:rsid w:val="003F3716"/>
    <w:rsid w:val="003F4845"/>
    <w:rsid w:val="003F4DBE"/>
    <w:rsid w:val="003F557E"/>
    <w:rsid w:val="00402361"/>
    <w:rsid w:val="00402642"/>
    <w:rsid w:val="004067AD"/>
    <w:rsid w:val="00412EDE"/>
    <w:rsid w:val="00414806"/>
    <w:rsid w:val="00422FA4"/>
    <w:rsid w:val="00424B78"/>
    <w:rsid w:val="004252AB"/>
    <w:rsid w:val="004317DD"/>
    <w:rsid w:val="00436A3E"/>
    <w:rsid w:val="00440D78"/>
    <w:rsid w:val="004411EC"/>
    <w:rsid w:val="00441A2A"/>
    <w:rsid w:val="004420F6"/>
    <w:rsid w:val="0044359A"/>
    <w:rsid w:val="00444258"/>
    <w:rsid w:val="00444F65"/>
    <w:rsid w:val="004476C6"/>
    <w:rsid w:val="0045130C"/>
    <w:rsid w:val="00453578"/>
    <w:rsid w:val="00455214"/>
    <w:rsid w:val="00456099"/>
    <w:rsid w:val="004565A5"/>
    <w:rsid w:val="00460C23"/>
    <w:rsid w:val="00460F3B"/>
    <w:rsid w:val="0046133D"/>
    <w:rsid w:val="00461A96"/>
    <w:rsid w:val="004673E6"/>
    <w:rsid w:val="00472C9B"/>
    <w:rsid w:val="00473A5E"/>
    <w:rsid w:val="004758A9"/>
    <w:rsid w:val="00477399"/>
    <w:rsid w:val="0048020B"/>
    <w:rsid w:val="004864DA"/>
    <w:rsid w:val="004872BC"/>
    <w:rsid w:val="004874A4"/>
    <w:rsid w:val="00494355"/>
    <w:rsid w:val="00494945"/>
    <w:rsid w:val="0049573A"/>
    <w:rsid w:val="00495E07"/>
    <w:rsid w:val="00497F70"/>
    <w:rsid w:val="004A03E5"/>
    <w:rsid w:val="004A3380"/>
    <w:rsid w:val="004A503D"/>
    <w:rsid w:val="004B4A8D"/>
    <w:rsid w:val="004C0E28"/>
    <w:rsid w:val="004C190E"/>
    <w:rsid w:val="004C388A"/>
    <w:rsid w:val="004C422D"/>
    <w:rsid w:val="004C456B"/>
    <w:rsid w:val="004C4D5F"/>
    <w:rsid w:val="004D35E8"/>
    <w:rsid w:val="004D614C"/>
    <w:rsid w:val="004E5AE3"/>
    <w:rsid w:val="004E6877"/>
    <w:rsid w:val="004F2CBA"/>
    <w:rsid w:val="004F6275"/>
    <w:rsid w:val="005019C3"/>
    <w:rsid w:val="00511022"/>
    <w:rsid w:val="00513E14"/>
    <w:rsid w:val="00514D99"/>
    <w:rsid w:val="005154C1"/>
    <w:rsid w:val="0051699B"/>
    <w:rsid w:val="00521122"/>
    <w:rsid w:val="0052351B"/>
    <w:rsid w:val="00530877"/>
    <w:rsid w:val="00541146"/>
    <w:rsid w:val="00542814"/>
    <w:rsid w:val="00543BAF"/>
    <w:rsid w:val="00545CC2"/>
    <w:rsid w:val="00546238"/>
    <w:rsid w:val="005500BA"/>
    <w:rsid w:val="00552A11"/>
    <w:rsid w:val="005577D9"/>
    <w:rsid w:val="00557A4B"/>
    <w:rsid w:val="00561DA8"/>
    <w:rsid w:val="00562CB2"/>
    <w:rsid w:val="0056392C"/>
    <w:rsid w:val="00570B34"/>
    <w:rsid w:val="00571D6D"/>
    <w:rsid w:val="00572F46"/>
    <w:rsid w:val="00573F3B"/>
    <w:rsid w:val="005748B2"/>
    <w:rsid w:val="00574A02"/>
    <w:rsid w:val="00576A54"/>
    <w:rsid w:val="00577DC6"/>
    <w:rsid w:val="005816F4"/>
    <w:rsid w:val="00582B5E"/>
    <w:rsid w:val="00585174"/>
    <w:rsid w:val="0059038C"/>
    <w:rsid w:val="0059098D"/>
    <w:rsid w:val="005921E2"/>
    <w:rsid w:val="00594E87"/>
    <w:rsid w:val="005950E5"/>
    <w:rsid w:val="00597309"/>
    <w:rsid w:val="005A013D"/>
    <w:rsid w:val="005A4CD3"/>
    <w:rsid w:val="005A52DB"/>
    <w:rsid w:val="005A6F7C"/>
    <w:rsid w:val="005B0E3D"/>
    <w:rsid w:val="005B18B2"/>
    <w:rsid w:val="005B40A6"/>
    <w:rsid w:val="005B5AA9"/>
    <w:rsid w:val="005C0180"/>
    <w:rsid w:val="005C01B7"/>
    <w:rsid w:val="005D2A79"/>
    <w:rsid w:val="005D3004"/>
    <w:rsid w:val="005D3D39"/>
    <w:rsid w:val="005D787E"/>
    <w:rsid w:val="005D7C39"/>
    <w:rsid w:val="005E13DF"/>
    <w:rsid w:val="005E2B1C"/>
    <w:rsid w:val="005E3D15"/>
    <w:rsid w:val="005E4C65"/>
    <w:rsid w:val="005E4FA7"/>
    <w:rsid w:val="005F1B49"/>
    <w:rsid w:val="005F2946"/>
    <w:rsid w:val="005F34C6"/>
    <w:rsid w:val="005F4318"/>
    <w:rsid w:val="005F4F8E"/>
    <w:rsid w:val="005F54A4"/>
    <w:rsid w:val="0060035F"/>
    <w:rsid w:val="006074E4"/>
    <w:rsid w:val="00607566"/>
    <w:rsid w:val="0061074D"/>
    <w:rsid w:val="00610CA0"/>
    <w:rsid w:val="006112D1"/>
    <w:rsid w:val="006112FA"/>
    <w:rsid w:val="00620205"/>
    <w:rsid w:val="006220A1"/>
    <w:rsid w:val="00622D42"/>
    <w:rsid w:val="00622F63"/>
    <w:rsid w:val="00623402"/>
    <w:rsid w:val="00624B34"/>
    <w:rsid w:val="00625B93"/>
    <w:rsid w:val="00633302"/>
    <w:rsid w:val="00633563"/>
    <w:rsid w:val="0063367F"/>
    <w:rsid w:val="00635696"/>
    <w:rsid w:val="00636271"/>
    <w:rsid w:val="006363E4"/>
    <w:rsid w:val="00643C5A"/>
    <w:rsid w:val="006451F1"/>
    <w:rsid w:val="0065025A"/>
    <w:rsid w:val="006502FA"/>
    <w:rsid w:val="00655A79"/>
    <w:rsid w:val="00662E76"/>
    <w:rsid w:val="006662C8"/>
    <w:rsid w:val="00667B22"/>
    <w:rsid w:val="006710C1"/>
    <w:rsid w:val="0067304E"/>
    <w:rsid w:val="0067339E"/>
    <w:rsid w:val="006745E5"/>
    <w:rsid w:val="006769BF"/>
    <w:rsid w:val="00677A0E"/>
    <w:rsid w:val="00680CF1"/>
    <w:rsid w:val="00681181"/>
    <w:rsid w:val="00682099"/>
    <w:rsid w:val="006948B2"/>
    <w:rsid w:val="00694F3D"/>
    <w:rsid w:val="006A18B6"/>
    <w:rsid w:val="006A1EDC"/>
    <w:rsid w:val="006A3CDB"/>
    <w:rsid w:val="006A4E9E"/>
    <w:rsid w:val="006A5B0F"/>
    <w:rsid w:val="006A5ED6"/>
    <w:rsid w:val="006A5FF3"/>
    <w:rsid w:val="006B129D"/>
    <w:rsid w:val="006B193D"/>
    <w:rsid w:val="006B20EE"/>
    <w:rsid w:val="006B4826"/>
    <w:rsid w:val="006B5B8D"/>
    <w:rsid w:val="006B607E"/>
    <w:rsid w:val="006C1614"/>
    <w:rsid w:val="006C1D8C"/>
    <w:rsid w:val="006C2C60"/>
    <w:rsid w:val="006C51D5"/>
    <w:rsid w:val="006C79BD"/>
    <w:rsid w:val="006D35AF"/>
    <w:rsid w:val="006D432E"/>
    <w:rsid w:val="006D5B0E"/>
    <w:rsid w:val="006E1145"/>
    <w:rsid w:val="006E3A75"/>
    <w:rsid w:val="006E4894"/>
    <w:rsid w:val="006E6044"/>
    <w:rsid w:val="006F0AFA"/>
    <w:rsid w:val="006F1B52"/>
    <w:rsid w:val="006F27A6"/>
    <w:rsid w:val="006F42DE"/>
    <w:rsid w:val="006F4A2D"/>
    <w:rsid w:val="006F79C9"/>
    <w:rsid w:val="00704D84"/>
    <w:rsid w:val="00705B33"/>
    <w:rsid w:val="0070615E"/>
    <w:rsid w:val="00710A58"/>
    <w:rsid w:val="007116AC"/>
    <w:rsid w:val="007124A2"/>
    <w:rsid w:val="007133ED"/>
    <w:rsid w:val="007230D6"/>
    <w:rsid w:val="00723E4B"/>
    <w:rsid w:val="00724553"/>
    <w:rsid w:val="0072563F"/>
    <w:rsid w:val="0072724A"/>
    <w:rsid w:val="00730223"/>
    <w:rsid w:val="00732CFA"/>
    <w:rsid w:val="00732E2C"/>
    <w:rsid w:val="00734468"/>
    <w:rsid w:val="00735ECF"/>
    <w:rsid w:val="007368A2"/>
    <w:rsid w:val="00736DE9"/>
    <w:rsid w:val="00742439"/>
    <w:rsid w:val="00743A10"/>
    <w:rsid w:val="007465A9"/>
    <w:rsid w:val="00754A0D"/>
    <w:rsid w:val="007552C1"/>
    <w:rsid w:val="007562E2"/>
    <w:rsid w:val="007577C2"/>
    <w:rsid w:val="0076328E"/>
    <w:rsid w:val="00763321"/>
    <w:rsid w:val="0076561E"/>
    <w:rsid w:val="007661B0"/>
    <w:rsid w:val="00772A06"/>
    <w:rsid w:val="00773353"/>
    <w:rsid w:val="00780A45"/>
    <w:rsid w:val="00781976"/>
    <w:rsid w:val="007876E3"/>
    <w:rsid w:val="007928AD"/>
    <w:rsid w:val="00794724"/>
    <w:rsid w:val="007A0174"/>
    <w:rsid w:val="007A0BB2"/>
    <w:rsid w:val="007A5131"/>
    <w:rsid w:val="007B1A6E"/>
    <w:rsid w:val="007B4019"/>
    <w:rsid w:val="007B6E4E"/>
    <w:rsid w:val="007B71E9"/>
    <w:rsid w:val="007C0693"/>
    <w:rsid w:val="007C1702"/>
    <w:rsid w:val="007C31E9"/>
    <w:rsid w:val="007C41D1"/>
    <w:rsid w:val="007C48C7"/>
    <w:rsid w:val="007C69D6"/>
    <w:rsid w:val="007D2CEB"/>
    <w:rsid w:val="007D3591"/>
    <w:rsid w:val="007D6683"/>
    <w:rsid w:val="007E3EFD"/>
    <w:rsid w:val="007E5420"/>
    <w:rsid w:val="007E6167"/>
    <w:rsid w:val="007E74C5"/>
    <w:rsid w:val="007F0E34"/>
    <w:rsid w:val="007F32C6"/>
    <w:rsid w:val="007F6368"/>
    <w:rsid w:val="007F7B7F"/>
    <w:rsid w:val="008043DE"/>
    <w:rsid w:val="0080498D"/>
    <w:rsid w:val="0080606A"/>
    <w:rsid w:val="008065F0"/>
    <w:rsid w:val="00807C2F"/>
    <w:rsid w:val="0081222E"/>
    <w:rsid w:val="008129C6"/>
    <w:rsid w:val="00812E0A"/>
    <w:rsid w:val="0081352B"/>
    <w:rsid w:val="00814514"/>
    <w:rsid w:val="008237E2"/>
    <w:rsid w:val="008239FA"/>
    <w:rsid w:val="008255E4"/>
    <w:rsid w:val="00827BAD"/>
    <w:rsid w:val="008309C9"/>
    <w:rsid w:val="00830BC7"/>
    <w:rsid w:val="008321A4"/>
    <w:rsid w:val="00832543"/>
    <w:rsid w:val="008335E3"/>
    <w:rsid w:val="00834DCB"/>
    <w:rsid w:val="00836673"/>
    <w:rsid w:val="00840C01"/>
    <w:rsid w:val="00840C42"/>
    <w:rsid w:val="0084167C"/>
    <w:rsid w:val="008432B0"/>
    <w:rsid w:val="008440C7"/>
    <w:rsid w:val="00844F10"/>
    <w:rsid w:val="00845186"/>
    <w:rsid w:val="00845BBC"/>
    <w:rsid w:val="00850048"/>
    <w:rsid w:val="008513D8"/>
    <w:rsid w:val="00852C25"/>
    <w:rsid w:val="00855B50"/>
    <w:rsid w:val="00855D43"/>
    <w:rsid w:val="008561D7"/>
    <w:rsid w:val="00860B22"/>
    <w:rsid w:val="008625EB"/>
    <w:rsid w:val="008636FC"/>
    <w:rsid w:val="00863DB6"/>
    <w:rsid w:val="00864F06"/>
    <w:rsid w:val="00867377"/>
    <w:rsid w:val="008717DC"/>
    <w:rsid w:val="0087188A"/>
    <w:rsid w:val="00873BC6"/>
    <w:rsid w:val="00874FB1"/>
    <w:rsid w:val="008771F4"/>
    <w:rsid w:val="00880902"/>
    <w:rsid w:val="00881E3C"/>
    <w:rsid w:val="0088740E"/>
    <w:rsid w:val="008875E0"/>
    <w:rsid w:val="00892A4E"/>
    <w:rsid w:val="00894A27"/>
    <w:rsid w:val="008953DE"/>
    <w:rsid w:val="00896A4C"/>
    <w:rsid w:val="0089797F"/>
    <w:rsid w:val="008A23C9"/>
    <w:rsid w:val="008A3233"/>
    <w:rsid w:val="008A39F8"/>
    <w:rsid w:val="008B0B3A"/>
    <w:rsid w:val="008B32A9"/>
    <w:rsid w:val="008C0083"/>
    <w:rsid w:val="008C2076"/>
    <w:rsid w:val="008C2EDB"/>
    <w:rsid w:val="008C6C9A"/>
    <w:rsid w:val="008C701E"/>
    <w:rsid w:val="008D1B64"/>
    <w:rsid w:val="008D4162"/>
    <w:rsid w:val="008D4E54"/>
    <w:rsid w:val="008E51AF"/>
    <w:rsid w:val="008E548A"/>
    <w:rsid w:val="008E74A2"/>
    <w:rsid w:val="008F4B82"/>
    <w:rsid w:val="00904536"/>
    <w:rsid w:val="0090478A"/>
    <w:rsid w:val="009102A7"/>
    <w:rsid w:val="009112ED"/>
    <w:rsid w:val="00911D86"/>
    <w:rsid w:val="0091420F"/>
    <w:rsid w:val="009144B5"/>
    <w:rsid w:val="009146F6"/>
    <w:rsid w:val="00915863"/>
    <w:rsid w:val="00916ED7"/>
    <w:rsid w:val="00923723"/>
    <w:rsid w:val="00926E69"/>
    <w:rsid w:val="00927268"/>
    <w:rsid w:val="00930EF7"/>
    <w:rsid w:val="009317B8"/>
    <w:rsid w:val="009360D6"/>
    <w:rsid w:val="00941336"/>
    <w:rsid w:val="009466EE"/>
    <w:rsid w:val="009575E1"/>
    <w:rsid w:val="00960BC7"/>
    <w:rsid w:val="00962129"/>
    <w:rsid w:val="009632C9"/>
    <w:rsid w:val="00964625"/>
    <w:rsid w:val="009667EE"/>
    <w:rsid w:val="00972E72"/>
    <w:rsid w:val="0097316B"/>
    <w:rsid w:val="0097354A"/>
    <w:rsid w:val="00974FAA"/>
    <w:rsid w:val="00977184"/>
    <w:rsid w:val="0097718F"/>
    <w:rsid w:val="009802C9"/>
    <w:rsid w:val="009851F8"/>
    <w:rsid w:val="00985ABF"/>
    <w:rsid w:val="00990F66"/>
    <w:rsid w:val="009928F1"/>
    <w:rsid w:val="009967F2"/>
    <w:rsid w:val="00996F99"/>
    <w:rsid w:val="00997790"/>
    <w:rsid w:val="009A01DC"/>
    <w:rsid w:val="009A66D0"/>
    <w:rsid w:val="009B01FC"/>
    <w:rsid w:val="009B1BFE"/>
    <w:rsid w:val="009B7367"/>
    <w:rsid w:val="009D0D6D"/>
    <w:rsid w:val="009D3494"/>
    <w:rsid w:val="009D63D0"/>
    <w:rsid w:val="009E0EA2"/>
    <w:rsid w:val="009E17B3"/>
    <w:rsid w:val="009E214D"/>
    <w:rsid w:val="009E33BE"/>
    <w:rsid w:val="009E4841"/>
    <w:rsid w:val="009E7983"/>
    <w:rsid w:val="009F2E31"/>
    <w:rsid w:val="009F3F1F"/>
    <w:rsid w:val="009F4AF7"/>
    <w:rsid w:val="009F4FB3"/>
    <w:rsid w:val="009F634A"/>
    <w:rsid w:val="009F71D1"/>
    <w:rsid w:val="00A00DD6"/>
    <w:rsid w:val="00A0135E"/>
    <w:rsid w:val="00A0156C"/>
    <w:rsid w:val="00A01EFD"/>
    <w:rsid w:val="00A026DF"/>
    <w:rsid w:val="00A03A5F"/>
    <w:rsid w:val="00A04100"/>
    <w:rsid w:val="00A066DE"/>
    <w:rsid w:val="00A070CE"/>
    <w:rsid w:val="00A10B65"/>
    <w:rsid w:val="00A15581"/>
    <w:rsid w:val="00A1593F"/>
    <w:rsid w:val="00A15B57"/>
    <w:rsid w:val="00A2536F"/>
    <w:rsid w:val="00A263F4"/>
    <w:rsid w:val="00A26AF6"/>
    <w:rsid w:val="00A30DB3"/>
    <w:rsid w:val="00A312DC"/>
    <w:rsid w:val="00A344A6"/>
    <w:rsid w:val="00A40655"/>
    <w:rsid w:val="00A406DC"/>
    <w:rsid w:val="00A41119"/>
    <w:rsid w:val="00A4347E"/>
    <w:rsid w:val="00A4381E"/>
    <w:rsid w:val="00A4630E"/>
    <w:rsid w:val="00A47DE3"/>
    <w:rsid w:val="00A55A52"/>
    <w:rsid w:val="00A55DE0"/>
    <w:rsid w:val="00A57D42"/>
    <w:rsid w:val="00A60BBB"/>
    <w:rsid w:val="00A60C83"/>
    <w:rsid w:val="00A634D3"/>
    <w:rsid w:val="00A65F1E"/>
    <w:rsid w:val="00A67274"/>
    <w:rsid w:val="00A739AD"/>
    <w:rsid w:val="00A83111"/>
    <w:rsid w:val="00A85982"/>
    <w:rsid w:val="00A934C1"/>
    <w:rsid w:val="00A972FF"/>
    <w:rsid w:val="00AA1DB7"/>
    <w:rsid w:val="00AA22FC"/>
    <w:rsid w:val="00AB0683"/>
    <w:rsid w:val="00AB074A"/>
    <w:rsid w:val="00AB179B"/>
    <w:rsid w:val="00AB197C"/>
    <w:rsid w:val="00AB199E"/>
    <w:rsid w:val="00AB1F0B"/>
    <w:rsid w:val="00AB2DA9"/>
    <w:rsid w:val="00AB4177"/>
    <w:rsid w:val="00AB4BE6"/>
    <w:rsid w:val="00AB5052"/>
    <w:rsid w:val="00AB5560"/>
    <w:rsid w:val="00AC14C9"/>
    <w:rsid w:val="00AC58FC"/>
    <w:rsid w:val="00AC7EA5"/>
    <w:rsid w:val="00AD53D2"/>
    <w:rsid w:val="00AD5651"/>
    <w:rsid w:val="00AD5E69"/>
    <w:rsid w:val="00AD7725"/>
    <w:rsid w:val="00AD7AA1"/>
    <w:rsid w:val="00AE530C"/>
    <w:rsid w:val="00AE7B86"/>
    <w:rsid w:val="00AF2305"/>
    <w:rsid w:val="00AF2A93"/>
    <w:rsid w:val="00AF46AA"/>
    <w:rsid w:val="00AF4B4A"/>
    <w:rsid w:val="00AF5D98"/>
    <w:rsid w:val="00B01535"/>
    <w:rsid w:val="00B03A57"/>
    <w:rsid w:val="00B044C6"/>
    <w:rsid w:val="00B11FF2"/>
    <w:rsid w:val="00B17BA2"/>
    <w:rsid w:val="00B2222C"/>
    <w:rsid w:val="00B24AA2"/>
    <w:rsid w:val="00B26221"/>
    <w:rsid w:val="00B27A34"/>
    <w:rsid w:val="00B34F63"/>
    <w:rsid w:val="00B35BDE"/>
    <w:rsid w:val="00B4012B"/>
    <w:rsid w:val="00B40EDB"/>
    <w:rsid w:val="00B40F12"/>
    <w:rsid w:val="00B43126"/>
    <w:rsid w:val="00B438B8"/>
    <w:rsid w:val="00B447CB"/>
    <w:rsid w:val="00B47C23"/>
    <w:rsid w:val="00B5275C"/>
    <w:rsid w:val="00B53A21"/>
    <w:rsid w:val="00B53B49"/>
    <w:rsid w:val="00B548FA"/>
    <w:rsid w:val="00B56FF3"/>
    <w:rsid w:val="00B57AFD"/>
    <w:rsid w:val="00B57EA9"/>
    <w:rsid w:val="00B57F05"/>
    <w:rsid w:val="00B60921"/>
    <w:rsid w:val="00B641F8"/>
    <w:rsid w:val="00B7228A"/>
    <w:rsid w:val="00B75641"/>
    <w:rsid w:val="00B7662E"/>
    <w:rsid w:val="00B82086"/>
    <w:rsid w:val="00B94119"/>
    <w:rsid w:val="00B94A4C"/>
    <w:rsid w:val="00B975F3"/>
    <w:rsid w:val="00BA1E11"/>
    <w:rsid w:val="00BC21EE"/>
    <w:rsid w:val="00BC39D4"/>
    <w:rsid w:val="00BD1415"/>
    <w:rsid w:val="00BD464C"/>
    <w:rsid w:val="00BD4653"/>
    <w:rsid w:val="00BD6475"/>
    <w:rsid w:val="00BE2499"/>
    <w:rsid w:val="00BE5802"/>
    <w:rsid w:val="00BE6721"/>
    <w:rsid w:val="00BF0271"/>
    <w:rsid w:val="00BF06DD"/>
    <w:rsid w:val="00BF0AEB"/>
    <w:rsid w:val="00BF12C4"/>
    <w:rsid w:val="00BF1B54"/>
    <w:rsid w:val="00BF2B46"/>
    <w:rsid w:val="00BF5E81"/>
    <w:rsid w:val="00BF61D3"/>
    <w:rsid w:val="00BF65CA"/>
    <w:rsid w:val="00C01123"/>
    <w:rsid w:val="00C01F1E"/>
    <w:rsid w:val="00C1110D"/>
    <w:rsid w:val="00C127B1"/>
    <w:rsid w:val="00C14BF4"/>
    <w:rsid w:val="00C15E87"/>
    <w:rsid w:val="00C168AC"/>
    <w:rsid w:val="00C175D0"/>
    <w:rsid w:val="00C2096B"/>
    <w:rsid w:val="00C21A8D"/>
    <w:rsid w:val="00C21E2C"/>
    <w:rsid w:val="00C22D8B"/>
    <w:rsid w:val="00C24DB0"/>
    <w:rsid w:val="00C26B1C"/>
    <w:rsid w:val="00C3426D"/>
    <w:rsid w:val="00C36549"/>
    <w:rsid w:val="00C366F2"/>
    <w:rsid w:val="00C41F42"/>
    <w:rsid w:val="00C43253"/>
    <w:rsid w:val="00C44ADA"/>
    <w:rsid w:val="00C46060"/>
    <w:rsid w:val="00C50711"/>
    <w:rsid w:val="00C523C6"/>
    <w:rsid w:val="00C525BA"/>
    <w:rsid w:val="00C53065"/>
    <w:rsid w:val="00C54204"/>
    <w:rsid w:val="00C555F7"/>
    <w:rsid w:val="00C60863"/>
    <w:rsid w:val="00C6285D"/>
    <w:rsid w:val="00C62F75"/>
    <w:rsid w:val="00C639E3"/>
    <w:rsid w:val="00C70563"/>
    <w:rsid w:val="00C71292"/>
    <w:rsid w:val="00C71484"/>
    <w:rsid w:val="00C716CA"/>
    <w:rsid w:val="00C735A7"/>
    <w:rsid w:val="00C74A76"/>
    <w:rsid w:val="00C80FCC"/>
    <w:rsid w:val="00C84B49"/>
    <w:rsid w:val="00C8566F"/>
    <w:rsid w:val="00C87C43"/>
    <w:rsid w:val="00C907D8"/>
    <w:rsid w:val="00C9118C"/>
    <w:rsid w:val="00C967FC"/>
    <w:rsid w:val="00C979D0"/>
    <w:rsid w:val="00CA410E"/>
    <w:rsid w:val="00CA447E"/>
    <w:rsid w:val="00CB0CDF"/>
    <w:rsid w:val="00CB0FE7"/>
    <w:rsid w:val="00CB32C4"/>
    <w:rsid w:val="00CB528D"/>
    <w:rsid w:val="00CC421B"/>
    <w:rsid w:val="00CC54D9"/>
    <w:rsid w:val="00CE10BD"/>
    <w:rsid w:val="00CE1352"/>
    <w:rsid w:val="00CE1F17"/>
    <w:rsid w:val="00CE50F1"/>
    <w:rsid w:val="00CE7F13"/>
    <w:rsid w:val="00CF3FB2"/>
    <w:rsid w:val="00CF75FE"/>
    <w:rsid w:val="00D004BE"/>
    <w:rsid w:val="00D00DBC"/>
    <w:rsid w:val="00D03586"/>
    <w:rsid w:val="00D05726"/>
    <w:rsid w:val="00D075C6"/>
    <w:rsid w:val="00D14FB9"/>
    <w:rsid w:val="00D15CA1"/>
    <w:rsid w:val="00D213E9"/>
    <w:rsid w:val="00D30E72"/>
    <w:rsid w:val="00D3613B"/>
    <w:rsid w:val="00D37F45"/>
    <w:rsid w:val="00D46107"/>
    <w:rsid w:val="00D50854"/>
    <w:rsid w:val="00D54158"/>
    <w:rsid w:val="00D60DAA"/>
    <w:rsid w:val="00D63D53"/>
    <w:rsid w:val="00D72181"/>
    <w:rsid w:val="00D7396F"/>
    <w:rsid w:val="00D73DA2"/>
    <w:rsid w:val="00D76A33"/>
    <w:rsid w:val="00D81AF1"/>
    <w:rsid w:val="00D8382F"/>
    <w:rsid w:val="00D843D7"/>
    <w:rsid w:val="00D90345"/>
    <w:rsid w:val="00D923DC"/>
    <w:rsid w:val="00D92A4E"/>
    <w:rsid w:val="00D97D5E"/>
    <w:rsid w:val="00DA1190"/>
    <w:rsid w:val="00DA4017"/>
    <w:rsid w:val="00DA5B94"/>
    <w:rsid w:val="00DA72DC"/>
    <w:rsid w:val="00DB16ED"/>
    <w:rsid w:val="00DB181D"/>
    <w:rsid w:val="00DB5C76"/>
    <w:rsid w:val="00DC0500"/>
    <w:rsid w:val="00DC1DE4"/>
    <w:rsid w:val="00DC377E"/>
    <w:rsid w:val="00DC59C1"/>
    <w:rsid w:val="00DC66B9"/>
    <w:rsid w:val="00DD1675"/>
    <w:rsid w:val="00DD1854"/>
    <w:rsid w:val="00DD776A"/>
    <w:rsid w:val="00DE7144"/>
    <w:rsid w:val="00DF0DE7"/>
    <w:rsid w:val="00DF3569"/>
    <w:rsid w:val="00E11188"/>
    <w:rsid w:val="00E216A6"/>
    <w:rsid w:val="00E2749E"/>
    <w:rsid w:val="00E32165"/>
    <w:rsid w:val="00E32AE6"/>
    <w:rsid w:val="00E332F7"/>
    <w:rsid w:val="00E35B18"/>
    <w:rsid w:val="00E374E0"/>
    <w:rsid w:val="00E40513"/>
    <w:rsid w:val="00E47430"/>
    <w:rsid w:val="00E4775F"/>
    <w:rsid w:val="00E523F8"/>
    <w:rsid w:val="00E763F7"/>
    <w:rsid w:val="00E814AC"/>
    <w:rsid w:val="00E81C52"/>
    <w:rsid w:val="00E87F29"/>
    <w:rsid w:val="00E917E1"/>
    <w:rsid w:val="00E9253B"/>
    <w:rsid w:val="00E92C22"/>
    <w:rsid w:val="00E92F00"/>
    <w:rsid w:val="00E9758C"/>
    <w:rsid w:val="00E97592"/>
    <w:rsid w:val="00EA35D6"/>
    <w:rsid w:val="00EA7477"/>
    <w:rsid w:val="00EB6C63"/>
    <w:rsid w:val="00EB7748"/>
    <w:rsid w:val="00EC0181"/>
    <w:rsid w:val="00EC3F55"/>
    <w:rsid w:val="00ED0125"/>
    <w:rsid w:val="00ED0ACC"/>
    <w:rsid w:val="00ED2A31"/>
    <w:rsid w:val="00EE79C9"/>
    <w:rsid w:val="00EF0F2B"/>
    <w:rsid w:val="00EF5764"/>
    <w:rsid w:val="00EF6E86"/>
    <w:rsid w:val="00F0000F"/>
    <w:rsid w:val="00F00898"/>
    <w:rsid w:val="00F00AF7"/>
    <w:rsid w:val="00F01066"/>
    <w:rsid w:val="00F033E6"/>
    <w:rsid w:val="00F07694"/>
    <w:rsid w:val="00F07BDD"/>
    <w:rsid w:val="00F12D19"/>
    <w:rsid w:val="00F1412A"/>
    <w:rsid w:val="00F1588F"/>
    <w:rsid w:val="00F171EE"/>
    <w:rsid w:val="00F3385A"/>
    <w:rsid w:val="00F36E4A"/>
    <w:rsid w:val="00F42328"/>
    <w:rsid w:val="00F42671"/>
    <w:rsid w:val="00F43CDF"/>
    <w:rsid w:val="00F46184"/>
    <w:rsid w:val="00F54657"/>
    <w:rsid w:val="00F56DC0"/>
    <w:rsid w:val="00F60452"/>
    <w:rsid w:val="00F60D19"/>
    <w:rsid w:val="00F612C8"/>
    <w:rsid w:val="00F66FE7"/>
    <w:rsid w:val="00F71008"/>
    <w:rsid w:val="00F7102D"/>
    <w:rsid w:val="00F75823"/>
    <w:rsid w:val="00F8032E"/>
    <w:rsid w:val="00F81978"/>
    <w:rsid w:val="00F84A29"/>
    <w:rsid w:val="00F913C1"/>
    <w:rsid w:val="00F9493E"/>
    <w:rsid w:val="00FA72A2"/>
    <w:rsid w:val="00FB4813"/>
    <w:rsid w:val="00FB48D4"/>
    <w:rsid w:val="00FB65C9"/>
    <w:rsid w:val="00FC0871"/>
    <w:rsid w:val="00FC0EAE"/>
    <w:rsid w:val="00FC13CF"/>
    <w:rsid w:val="00FC2012"/>
    <w:rsid w:val="00FC4F94"/>
    <w:rsid w:val="00FD02F9"/>
    <w:rsid w:val="00FD4046"/>
    <w:rsid w:val="00FD6A09"/>
    <w:rsid w:val="00FE57C2"/>
    <w:rsid w:val="00FF41BA"/>
    <w:rsid w:val="00FF4E8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5985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0EA2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FERCparanumber"/>
    <w:link w:val="Heading1Char"/>
    <w:uiPriority w:val="9"/>
    <w:qFormat/>
    <w:rsid w:val="005921E2"/>
    <w:pPr>
      <w:keepNext/>
      <w:keepLines/>
      <w:widowControl/>
      <w:numPr>
        <w:numId w:val="15"/>
      </w:numPr>
      <w:outlineLvl w:val="0"/>
    </w:pPr>
    <w:rPr>
      <w:rFonts w:eastAsiaTheme="majorEastAsia"/>
      <w:b/>
      <w:kern w:val="32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uiPriority w:val="9"/>
    <w:unhideWhenUsed/>
    <w:qFormat/>
    <w:rsid w:val="005921E2"/>
    <w:pPr>
      <w:keepNext/>
      <w:keepLines/>
      <w:widowControl/>
      <w:numPr>
        <w:ilvl w:val="1"/>
        <w:numId w:val="15"/>
      </w:numPr>
      <w:outlineLvl w:val="1"/>
    </w:pPr>
    <w:rPr>
      <w:rFonts w:eastAsiaTheme="majorEastAsia"/>
      <w:b/>
      <w:kern w:val="32"/>
      <w:szCs w:val="26"/>
      <w:u w:val="single"/>
    </w:rPr>
  </w:style>
  <w:style w:type="paragraph" w:styleId="Heading3">
    <w:name w:val="heading 3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2"/>
        <w:numId w:val="15"/>
      </w:numPr>
      <w:outlineLvl w:val="2"/>
    </w:pPr>
    <w:rPr>
      <w:rFonts w:eastAsiaTheme="majorEastAsia"/>
      <w:b/>
      <w:kern w:val="32"/>
      <w:szCs w:val="24"/>
      <w:u w:val="single"/>
    </w:rPr>
  </w:style>
  <w:style w:type="paragraph" w:styleId="Heading4">
    <w:name w:val="heading 4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3"/>
        <w:numId w:val="15"/>
      </w:numPr>
      <w:outlineLvl w:val="3"/>
    </w:pPr>
    <w:rPr>
      <w:rFonts w:eastAsiaTheme="majorEastAsia"/>
      <w:b/>
      <w:iCs/>
      <w:kern w:val="32"/>
      <w:u w:val="single"/>
    </w:rPr>
  </w:style>
  <w:style w:type="paragraph" w:styleId="Heading5">
    <w:name w:val="heading 5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4"/>
        <w:numId w:val="15"/>
      </w:numPr>
      <w:outlineLvl w:val="4"/>
    </w:pPr>
    <w:rPr>
      <w:rFonts w:eastAsiaTheme="majorEastAsia"/>
      <w:b/>
      <w:kern w:val="32"/>
      <w:u w:val="single"/>
    </w:rPr>
  </w:style>
  <w:style w:type="paragraph" w:styleId="Heading6">
    <w:name w:val="heading 6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5"/>
        <w:numId w:val="15"/>
      </w:numPr>
      <w:outlineLvl w:val="5"/>
    </w:pPr>
    <w:rPr>
      <w:rFonts w:eastAsiaTheme="majorEastAsia"/>
      <w:b/>
      <w:kern w:val="32"/>
      <w:u w:val="single"/>
    </w:rPr>
  </w:style>
  <w:style w:type="paragraph" w:styleId="Heading7">
    <w:name w:val="heading 7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6"/>
        <w:numId w:val="15"/>
      </w:numPr>
      <w:outlineLvl w:val="6"/>
    </w:pPr>
    <w:rPr>
      <w:rFonts w:eastAsiaTheme="majorEastAsia"/>
      <w:b/>
      <w:iCs/>
      <w:kern w:val="32"/>
      <w:u w:val="single"/>
    </w:rPr>
  </w:style>
  <w:style w:type="paragraph" w:styleId="Heading8">
    <w:name w:val="heading 8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7"/>
        <w:numId w:val="15"/>
      </w:numPr>
      <w:outlineLvl w:val="7"/>
    </w:pPr>
    <w:rPr>
      <w:rFonts w:eastAsiaTheme="majorEastAsia"/>
      <w:b/>
      <w:kern w:val="32"/>
      <w:szCs w:val="21"/>
      <w:u w:val="single"/>
    </w:rPr>
  </w:style>
  <w:style w:type="paragraph" w:styleId="Heading9">
    <w:name w:val="heading 9"/>
    <w:basedOn w:val="Normal"/>
    <w:next w:val="FERCparanumber"/>
    <w:uiPriority w:val="9"/>
    <w:semiHidden/>
    <w:unhideWhenUsed/>
    <w:qFormat/>
    <w:rsid w:val="005921E2"/>
    <w:pPr>
      <w:keepNext/>
      <w:keepLines/>
      <w:widowControl/>
      <w:numPr>
        <w:ilvl w:val="8"/>
        <w:numId w:val="15"/>
      </w:numPr>
      <w:outlineLvl w:val="8"/>
    </w:pPr>
    <w:rPr>
      <w:rFonts w:eastAsiaTheme="majorEastAsia"/>
      <w:b/>
      <w:iCs/>
      <w:kern w:val="32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OC1">
    <w:name w:val="myTOC 1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spacing w:before="120"/>
    </w:pPr>
    <w:rPr>
      <w:rFonts w:eastAsia="Times New Roman"/>
      <w:szCs w:val="26"/>
    </w:rPr>
  </w:style>
  <w:style w:type="paragraph" w:customStyle="1" w:styleId="myTOC2">
    <w:name w:val="myTOC 2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288"/>
    </w:pPr>
    <w:rPr>
      <w:rFonts w:eastAsia="Times New Roman"/>
      <w:szCs w:val="26"/>
    </w:rPr>
  </w:style>
  <w:style w:type="paragraph" w:customStyle="1" w:styleId="myTOC3">
    <w:name w:val="myTOC 3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576"/>
    </w:pPr>
    <w:rPr>
      <w:rFonts w:eastAsia="Times New Roman"/>
      <w:szCs w:val="26"/>
    </w:rPr>
  </w:style>
  <w:style w:type="paragraph" w:customStyle="1" w:styleId="myTOC4">
    <w:name w:val="myTOC 4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864"/>
    </w:pPr>
    <w:rPr>
      <w:rFonts w:eastAsia="Times New Roman"/>
      <w:szCs w:val="26"/>
    </w:rPr>
  </w:style>
  <w:style w:type="paragraph" w:customStyle="1" w:styleId="myTOC5">
    <w:name w:val="myTOC 5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1152"/>
    </w:pPr>
    <w:rPr>
      <w:rFonts w:eastAsia="Times New Roman"/>
      <w:szCs w:val="26"/>
    </w:rPr>
  </w:style>
  <w:style w:type="paragraph" w:customStyle="1" w:styleId="myTOC6">
    <w:name w:val="myTOC 6"/>
    <w:basedOn w:val="Normal"/>
    <w:next w:val="Normal"/>
    <w:rsid w:val="004C456B"/>
    <w:pPr>
      <w:tabs>
        <w:tab w:val="right" w:leader="dot" w:pos="9360"/>
      </w:tabs>
      <w:ind w:left="1440"/>
    </w:pPr>
    <w:rPr>
      <w:rFonts w:eastAsia="Times New Roman"/>
      <w:szCs w:val="26"/>
    </w:rPr>
  </w:style>
  <w:style w:type="paragraph" w:customStyle="1" w:styleId="myTOC7">
    <w:name w:val="myTOC 7"/>
    <w:basedOn w:val="Normal"/>
    <w:next w:val="Normal"/>
    <w:rsid w:val="004C456B"/>
    <w:pPr>
      <w:tabs>
        <w:tab w:val="right" w:leader="dot" w:pos="9360"/>
      </w:tabs>
      <w:ind w:left="1728"/>
    </w:pPr>
    <w:rPr>
      <w:rFonts w:eastAsia="Times New Roman"/>
      <w:szCs w:val="26"/>
    </w:rPr>
  </w:style>
  <w:style w:type="paragraph" w:customStyle="1" w:styleId="myTOC8">
    <w:name w:val="myTOC 8"/>
    <w:basedOn w:val="Normal"/>
    <w:next w:val="Normal"/>
    <w:rsid w:val="004C456B"/>
    <w:pPr>
      <w:tabs>
        <w:tab w:val="right" w:leader="dot" w:pos="9360"/>
      </w:tabs>
      <w:ind w:left="2016"/>
    </w:pPr>
    <w:rPr>
      <w:rFonts w:eastAsia="Times New Roman"/>
      <w:szCs w:val="26"/>
    </w:rPr>
  </w:style>
  <w:style w:type="paragraph" w:customStyle="1" w:styleId="myTOC9">
    <w:name w:val="myTOC 9"/>
    <w:basedOn w:val="Normal"/>
    <w:next w:val="Normal"/>
    <w:rsid w:val="004C456B"/>
    <w:pPr>
      <w:tabs>
        <w:tab w:val="right" w:leader="dot" w:pos="9360"/>
      </w:tabs>
      <w:ind w:left="2304"/>
    </w:pPr>
    <w:rPr>
      <w:rFonts w:eastAsia="Times New Roman"/>
      <w:szCs w:val="26"/>
    </w:rPr>
  </w:style>
  <w:style w:type="paragraph" w:customStyle="1" w:styleId="Non-TOCStyle">
    <w:name w:val="Non-TOC Style"/>
    <w:basedOn w:val="Normal"/>
    <w:next w:val="FERCparanumber"/>
    <w:rsid w:val="004C456B"/>
    <w:pPr>
      <w:keepNext/>
      <w:keepLines/>
      <w:numPr>
        <w:numId w:val="21"/>
      </w:numPr>
      <w:autoSpaceDE w:val="0"/>
      <w:autoSpaceDN w:val="0"/>
      <w:adjustRightInd w:val="0"/>
      <w:jc w:val="center"/>
      <w:outlineLvl w:val="4"/>
    </w:pPr>
    <w:rPr>
      <w:rFonts w:eastAsia="Times New Roman"/>
      <w:b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13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3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7F13"/>
  </w:style>
  <w:style w:type="paragraph" w:styleId="BlockText">
    <w:name w:val="Block Text"/>
    <w:basedOn w:val="Normal"/>
    <w:uiPriority w:val="99"/>
    <w:semiHidden/>
    <w:unhideWhenUsed/>
    <w:rsid w:val="00CE7F1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E214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214D"/>
    <w:rPr>
      <w:rFonts w:ascii="Times New Roman" w:hAnsi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F13"/>
  </w:style>
  <w:style w:type="paragraph" w:styleId="BodyText3">
    <w:name w:val="Body Text 3"/>
    <w:basedOn w:val="Normal"/>
    <w:link w:val="BodyText3Char"/>
    <w:uiPriority w:val="99"/>
    <w:semiHidden/>
    <w:unhideWhenUsed/>
    <w:rsid w:val="00CE7F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7F1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7F13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7F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7F1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7F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F1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7F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7F1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EA2"/>
    <w:pPr>
      <w:spacing w:after="200"/>
    </w:pPr>
    <w:rPr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E7F1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7F13"/>
  </w:style>
  <w:style w:type="paragraph" w:styleId="CommentText">
    <w:name w:val="annotation text"/>
    <w:basedOn w:val="Normal"/>
    <w:link w:val="CommentTextChar"/>
    <w:uiPriority w:val="99"/>
    <w:semiHidden/>
    <w:unhideWhenUsed/>
    <w:rsid w:val="00AF230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F13"/>
    <w:rPr>
      <w:rFonts w:ascii="Times New Roman" w:hAnsi="Times New Roman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7F13"/>
  </w:style>
  <w:style w:type="character" w:customStyle="1" w:styleId="DateChar">
    <w:name w:val="Date Char"/>
    <w:basedOn w:val="DefaultParagraphFont"/>
    <w:link w:val="Date"/>
    <w:uiPriority w:val="99"/>
    <w:semiHidden/>
    <w:rsid w:val="00CE7F13"/>
  </w:style>
  <w:style w:type="paragraph" w:styleId="DocumentMap">
    <w:name w:val="Document Map"/>
    <w:basedOn w:val="Normal"/>
    <w:link w:val="DocumentMapChar"/>
    <w:uiPriority w:val="99"/>
    <w:semiHidden/>
    <w:unhideWhenUsed/>
    <w:rsid w:val="00CE7F1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F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7F1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7F13"/>
  </w:style>
  <w:style w:type="paragraph" w:styleId="EndnoteText">
    <w:name w:val="endnote text"/>
    <w:basedOn w:val="Normal"/>
    <w:link w:val="EndnoteTextChar"/>
    <w:uiPriority w:val="99"/>
    <w:semiHidden/>
    <w:unhideWhenUsed/>
    <w:rsid w:val="00CE7F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F1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E7F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7F1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13"/>
  </w:style>
  <w:style w:type="paragraph" w:styleId="Header">
    <w:name w:val="header"/>
    <w:basedOn w:val="Normal"/>
    <w:link w:val="Head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F13"/>
  </w:style>
  <w:style w:type="character" w:customStyle="1" w:styleId="9">
    <w:name w:val="9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">
    <w:name w:val="8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">
    <w:name w:val="7"/>
    <w:basedOn w:val="DefaultParagraphFont"/>
    <w:uiPriority w:val="9"/>
    <w:semiHidden/>
    <w:rsid w:val="00CE7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">
    <w:name w:val="6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5">
    <w:name w:val="5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">
    <w:name w:val="4"/>
    <w:basedOn w:val="DefaultParagraphFont"/>
    <w:uiPriority w:val="9"/>
    <w:semiHidden/>
    <w:rsid w:val="00CE7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3">
    <w:name w:val="3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">
    <w:name w:val="2"/>
    <w:basedOn w:val="DefaultParagraphFont"/>
    <w:uiPriority w:val="9"/>
    <w:semiHidden/>
    <w:rsid w:val="00CE7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7F1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7F1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F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CE7F13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CE7F13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CE7F13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CE7F13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CE7F13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CE7F13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CE7F13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CE7F1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7F1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F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F1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CE7F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E7F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E7F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E7F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E7F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E7F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E7F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7F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E7F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7F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E7F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7F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7F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7F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7F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E7F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E7F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E7F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E7F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7F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E7F1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E7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7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7F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E7F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E7F1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7F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7F1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7F13"/>
  </w:style>
  <w:style w:type="paragraph" w:styleId="PlainText">
    <w:name w:val="Plain Text"/>
    <w:basedOn w:val="Normal"/>
    <w:link w:val="PlainTextChar"/>
    <w:uiPriority w:val="99"/>
    <w:semiHidden/>
    <w:unhideWhenUsed/>
    <w:rsid w:val="00CE7F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F1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7F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F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7F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7F13"/>
  </w:style>
  <w:style w:type="paragraph" w:styleId="Signature">
    <w:name w:val="Signature"/>
    <w:basedOn w:val="Normal"/>
    <w:link w:val="SignatureChar"/>
    <w:uiPriority w:val="99"/>
    <w:semiHidden/>
    <w:unhideWhenUsed/>
    <w:rsid w:val="00CE7F1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7F13"/>
  </w:style>
  <w:style w:type="paragraph" w:styleId="Subtitle">
    <w:name w:val="Subtitle"/>
    <w:basedOn w:val="Normal"/>
    <w:next w:val="Normal"/>
    <w:link w:val="SubtitleChar"/>
    <w:uiPriority w:val="11"/>
    <w:qFormat/>
    <w:rsid w:val="00CE7F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7F1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7F13"/>
  </w:style>
  <w:style w:type="paragraph" w:styleId="Title">
    <w:name w:val="Title"/>
    <w:basedOn w:val="Normal"/>
    <w:next w:val="Normal"/>
    <w:link w:val="TitleChar"/>
    <w:uiPriority w:val="10"/>
    <w:qFormat/>
    <w:rsid w:val="00CE7F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E7F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E7F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E7F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CE7F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CE7F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CE7F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CE7F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CE7F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CE7F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CE7F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F13"/>
    <w:pPr>
      <w:numPr>
        <w:numId w:val="0"/>
      </w:numPr>
      <w:outlineLvl w:val="9"/>
    </w:pPr>
  </w:style>
  <w:style w:type="paragraph" w:customStyle="1" w:styleId="FERCparanumber">
    <w:name w:val="FERC paranumber"/>
    <w:basedOn w:val="Normal"/>
    <w:link w:val="FERCparanumberChar"/>
    <w:qFormat/>
    <w:rsid w:val="00C907D8"/>
    <w:pPr>
      <w:widowControl/>
      <w:numPr>
        <w:numId w:val="11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964625"/>
    <w:rPr>
      <w:rFonts w:ascii="Times New Roman" w:hAnsi="Times New Roman" w:cs="Times New Roman"/>
      <w:sz w:val="26"/>
    </w:rPr>
  </w:style>
  <w:style w:type="character" w:styleId="PageNumber">
    <w:name w:val="page number"/>
    <w:basedOn w:val="DefaultParagraphFont"/>
    <w:rsid w:val="0048020B"/>
  </w:style>
  <w:style w:type="table" w:styleId="TableGrid">
    <w:name w:val="Table Grid"/>
    <w:basedOn w:val="TableNormal"/>
    <w:rsid w:val="0048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20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1E2"/>
    <w:rPr>
      <w:rFonts w:ascii="Times New Roman" w:eastAsiaTheme="majorEastAsia" w:hAnsi="Times New Roman" w:cs="Times New Roman"/>
      <w:b/>
      <w:kern w:val="32"/>
      <w:sz w:val="2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1E2"/>
    <w:rPr>
      <w:rFonts w:ascii="Times New Roman" w:eastAsiaTheme="majorEastAsia" w:hAnsi="Times New Roman" w:cs="Times New Roman"/>
      <w:b/>
      <w:kern w:val="32"/>
      <w:sz w:val="26"/>
      <w:szCs w:val="26"/>
      <w:u w:val="single"/>
    </w:rPr>
  </w:style>
  <w:style w:type="paragraph" w:styleId="FootnoteText">
    <w:name w:val="footnote text"/>
    <w:basedOn w:val="Normal"/>
    <w:link w:val="FootnoteTextChar"/>
    <w:unhideWhenUsed/>
    <w:rsid w:val="00C74A76"/>
    <w:pPr>
      <w:spacing w:after="26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74A76"/>
    <w:rPr>
      <w:rFonts w:ascii="Times New Roman" w:hAnsi="Times New Roman" w:cs="Times New Roman"/>
      <w:sz w:val="26"/>
      <w:szCs w:val="20"/>
    </w:rPr>
  </w:style>
  <w:style w:type="character" w:styleId="FootnoteReference">
    <w:name w:val="footnote reference"/>
    <w:aliases w:val="o,fr,Style 13,Style 12,Style 15,Style 17,Style 9,o1,fr1,o2,fr2,o3,fr3,Style 18,(NECG) Footnote Reference,Style 20,Style 7,Style 8,Style 19,Style 28,Style 11,Style 16,Styl,Footnote Reference (EIS),fnr,Footnote reference (EA),Style 30,."/>
    <w:basedOn w:val="DefaultParagraphFont"/>
    <w:unhideWhenUsed/>
    <w:qFormat/>
    <w:rsid w:val="00C74A76"/>
    <w:rPr>
      <w:rFonts w:ascii="Times New Roman" w:hAnsi="Times New Roman" w:cs="Times New Roman"/>
      <w:b/>
      <w:sz w:val="26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4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6E31-8852-4381-8613-04E9457D1E6F}">
  <ds:schemaRefs>
    <ds:schemaRef ds:uri="5e8733a2-e908-454b-85cf-c9d17e1d094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2FCFA-9926-4BBE-A4B7-55DF728D5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961C4-CD1D-4D70-9B51-18143E51DF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B1CF47C-42C0-4960-AEBE-754D12DF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27DA3B-602E-4982-B6CB-D8BEB7B3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2020-03-23T17:25:00Z</dcterms:created>
  <dcterms:modified xsi:type="dcterms:W3CDTF">2020-03-23T17:25:00Z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0x01010040BBA46C296F7C4CB651D6F7E4CC084A</vt:lpwstr>
  </property>
</Properties>
</file>