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FC" w:rsidRDefault="001D00FC" w:rsidP="000467A1">
      <w:pPr>
        <w:jc w:val="center"/>
        <w:outlineLvl w:val="0"/>
      </w:pPr>
    </w:p>
    <w:p w:rsidR="000467A1" w:rsidRDefault="000467A1" w:rsidP="000467A1">
      <w:pPr>
        <w:jc w:val="center"/>
        <w:outlineLvl w:val="0"/>
      </w:pPr>
      <w:r w:rsidRPr="00C10EF5">
        <w:t>UNITED</w:t>
      </w:r>
      <w:r>
        <w:t xml:space="preserve"> STATES OF AMERICA</w:t>
      </w:r>
    </w:p>
    <w:p w:rsidR="000467A1" w:rsidRDefault="000467A1" w:rsidP="000467A1">
      <w:pPr>
        <w:jc w:val="center"/>
      </w:pPr>
      <w:r>
        <w:t>FEDERAL ENERGY REGULATORY COMMISSION</w:t>
      </w:r>
    </w:p>
    <w:p w:rsidR="000467A1" w:rsidRDefault="000467A1" w:rsidP="000467A1"/>
    <w:p w:rsidR="000467A1" w:rsidRDefault="000467A1" w:rsidP="000467A1"/>
    <w:p w:rsidR="001D00FC" w:rsidRDefault="001D00FC" w:rsidP="000467A1">
      <w:pPr>
        <w:jc w:val="center"/>
        <w:outlineLvl w:val="0"/>
      </w:pPr>
    </w:p>
    <w:p w:rsidR="001D00FC" w:rsidRDefault="001D00FC" w:rsidP="000467A1">
      <w:pPr>
        <w:jc w:val="center"/>
        <w:outlineLvl w:val="0"/>
      </w:pPr>
    </w:p>
    <w:p w:rsidR="000467A1" w:rsidRDefault="000467A1" w:rsidP="000467A1">
      <w:pPr>
        <w:jc w:val="center"/>
        <w:outlineLvl w:val="0"/>
      </w:pPr>
      <w:r>
        <w:t xml:space="preserve">NOTICE </w:t>
      </w:r>
      <w:r w:rsidR="009D7B78">
        <w:t>TO THE PUBLIC</w:t>
      </w:r>
    </w:p>
    <w:p w:rsidR="000467A1" w:rsidRDefault="000467A1" w:rsidP="000467A1">
      <w:pPr>
        <w:jc w:val="center"/>
        <w:outlineLvl w:val="0"/>
      </w:pPr>
    </w:p>
    <w:p w:rsidR="000467A1" w:rsidRDefault="000467A1" w:rsidP="000467A1">
      <w:pPr>
        <w:jc w:val="center"/>
      </w:pPr>
      <w:r>
        <w:t>PROCEDURES GOVERNING RULE 602 SETTLEMENT FILINGS</w:t>
      </w:r>
    </w:p>
    <w:p w:rsidR="000467A1" w:rsidRDefault="000467A1" w:rsidP="000467A1"/>
    <w:p w:rsidR="001D00FC" w:rsidRDefault="000467A1" w:rsidP="000467A1">
      <w:pPr>
        <w:jc w:val="center"/>
      </w:pPr>
      <w:r>
        <w:t xml:space="preserve">(Issued </w:t>
      </w:r>
      <w:r>
        <w:fldChar w:fldCharType="begin"/>
      </w:r>
      <w:r>
        <w:instrText xml:space="preserve"> MACROBUTTON  AcceptAllChangesInDoc </w:instrText>
      </w:r>
      <w:r>
        <w:fldChar w:fldCharType="end"/>
      </w:r>
      <w:r w:rsidR="00A1557B">
        <w:t>October</w:t>
      </w:r>
      <w:r>
        <w:t xml:space="preserve"> </w:t>
      </w:r>
      <w:r w:rsidR="00680690">
        <w:t>1</w:t>
      </w:r>
      <w:r w:rsidR="000A6528">
        <w:t>3</w:t>
      </w:r>
      <w:r>
        <w:t>, 2017)</w:t>
      </w:r>
    </w:p>
    <w:p w:rsidR="001D00FC" w:rsidRDefault="001D00FC" w:rsidP="000467A1">
      <w:pPr>
        <w:jc w:val="center"/>
      </w:pPr>
    </w:p>
    <w:p w:rsidR="000467A1" w:rsidRDefault="000467A1" w:rsidP="000467A1"/>
    <w:p w:rsidR="00957EE1" w:rsidRDefault="007F19DB" w:rsidP="00BE635C">
      <w:pPr>
        <w:pStyle w:val="FERCparanumber"/>
        <w:numPr>
          <w:ilvl w:val="0"/>
          <w:numId w:val="37"/>
        </w:numPr>
      </w:pPr>
      <w:r>
        <w:t>This Notice provides further clarification of the procedures governing certain settlement filings made with the Commission</w:t>
      </w:r>
      <w:r w:rsidR="00BE635C">
        <w:t xml:space="preserve"> for the purpose of reducing the number of submission errors.  </w:t>
      </w:r>
      <w:r>
        <w:t xml:space="preserve">This Notice also establishes a procedure to ensure adequate </w:t>
      </w:r>
      <w:r w:rsidR="0060522E">
        <w:t>information</w:t>
      </w:r>
      <w:r w:rsidR="00D4310B">
        <w:t xml:space="preserve"> in all relevant dockets</w:t>
      </w:r>
      <w:r>
        <w:t xml:space="preserve"> wh</w:t>
      </w:r>
      <w:r w:rsidR="00D4310B">
        <w:t xml:space="preserve">en settlement filings are made in eTariff format within the Commission’s eFiling application. </w:t>
      </w:r>
    </w:p>
    <w:p w:rsidR="000467A1" w:rsidRDefault="00D96FEC" w:rsidP="000467A1">
      <w:pPr>
        <w:pStyle w:val="FERCparanumber"/>
        <w:numPr>
          <w:ilvl w:val="0"/>
          <w:numId w:val="37"/>
        </w:numPr>
      </w:pPr>
      <w:r>
        <w:t>A</w:t>
      </w:r>
      <w:r w:rsidR="0060522E">
        <w:t>s previously required</w:t>
      </w:r>
      <w:r w:rsidR="00EF7ECB">
        <w:t>,</w:t>
      </w:r>
      <w:r w:rsidR="0060522E">
        <w:t xml:space="preserve"> </w:t>
      </w:r>
      <w:r w:rsidR="00D4310B">
        <w:t>a</w:t>
      </w:r>
      <w:r w:rsidR="000467A1" w:rsidRPr="003249DD">
        <w:t>ll Rule 602</w:t>
      </w:r>
      <w:r>
        <w:rPr>
          <w:rStyle w:val="FootnoteReference"/>
        </w:rPr>
        <w:footnoteReference w:id="2"/>
      </w:r>
      <w:r w:rsidR="000467A1" w:rsidRPr="003249DD">
        <w:t xml:space="preserve"> settlements</w:t>
      </w:r>
      <w:r w:rsidR="003E36EB">
        <w:t xml:space="preserve"> and related interim rate</w:t>
      </w:r>
      <w:r w:rsidR="000E34EE">
        <w:t xml:space="preserve"> filings</w:t>
      </w:r>
      <w:r w:rsidR="000467A1" w:rsidRPr="003249DD">
        <w:t xml:space="preserve"> in proceedings under Parts 35, 154, 284, 300</w:t>
      </w:r>
      <w:r w:rsidR="007A6EFC">
        <w:t>,</w:t>
      </w:r>
      <w:r w:rsidR="000467A1" w:rsidRPr="003249DD">
        <w:t xml:space="preserve"> and 341 of the Commission’s regulations must be </w:t>
      </w:r>
      <w:r w:rsidR="00D4310B">
        <w:t>eF</w:t>
      </w:r>
      <w:r w:rsidR="00957EE1">
        <w:t xml:space="preserve">iled </w:t>
      </w:r>
      <w:r w:rsidR="00D4310B">
        <w:t>in</w:t>
      </w:r>
      <w:r w:rsidR="00957EE1">
        <w:t xml:space="preserve"> eTariff</w:t>
      </w:r>
      <w:r w:rsidR="00D4310B">
        <w:t xml:space="preserve"> format</w:t>
      </w:r>
      <w:r w:rsidR="000467A1" w:rsidRPr="003249DD">
        <w:t>.</w:t>
      </w:r>
      <w:r w:rsidR="00AE6441">
        <w:rPr>
          <w:rStyle w:val="FootnoteReference"/>
        </w:rPr>
        <w:footnoteReference w:id="3"/>
      </w:r>
    </w:p>
    <w:p w:rsidR="000467A1" w:rsidRDefault="000467A1" w:rsidP="000467A1">
      <w:pPr>
        <w:pStyle w:val="FERCparanumber"/>
        <w:numPr>
          <w:ilvl w:val="0"/>
          <w:numId w:val="37"/>
        </w:numPr>
      </w:pPr>
      <w:r>
        <w:t xml:space="preserve">When a settlement </w:t>
      </w:r>
      <w:r w:rsidR="003E36EB">
        <w:t>and related interim rate</w:t>
      </w:r>
      <w:r w:rsidR="000E34EE">
        <w:t xml:space="preserve"> filings</w:t>
      </w:r>
      <w:r w:rsidR="003E36EB">
        <w:t xml:space="preserve"> </w:t>
      </w:r>
      <w:r w:rsidR="000E34EE">
        <w:t>are</w:t>
      </w:r>
      <w:r>
        <w:t xml:space="preserve"> submitted </w:t>
      </w:r>
      <w:r w:rsidR="00790A64">
        <w:t>in</w:t>
      </w:r>
      <w:r>
        <w:t xml:space="preserve"> eTariff</w:t>
      </w:r>
      <w:r w:rsidR="00790A64">
        <w:t xml:space="preserve"> format</w:t>
      </w:r>
      <w:r>
        <w:t>, the filer is required to identify the specific type of filing by using a numeric code known as a Type of Filing Code (TOFC).  The TOFC must be listed in the designated field when making the submission.  The relevant TOFCs for Rule 602 settlement filings are:</w:t>
      </w:r>
      <w:r w:rsidRPr="003249D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849"/>
      </w:tblGrid>
      <w:tr w:rsidR="000467A1" w:rsidRPr="003249DD" w:rsidTr="004B0B6A">
        <w:trPr>
          <w:cantSplit/>
          <w:tblHeader/>
          <w:jc w:val="center"/>
        </w:trPr>
        <w:tc>
          <w:tcPr>
            <w:tcW w:w="0" w:type="auto"/>
            <w:shd w:val="clear" w:color="auto" w:fill="auto"/>
          </w:tcPr>
          <w:p w:rsidR="000467A1" w:rsidRPr="00CA3C20" w:rsidRDefault="000467A1" w:rsidP="004B0B6A">
            <w:pPr>
              <w:rPr>
                <w:b/>
                <w:szCs w:val="26"/>
              </w:rPr>
            </w:pPr>
            <w:r w:rsidRPr="00CA3C20">
              <w:rPr>
                <w:b/>
                <w:szCs w:val="26"/>
              </w:rPr>
              <w:t>TOFC</w:t>
            </w:r>
          </w:p>
        </w:tc>
        <w:tc>
          <w:tcPr>
            <w:tcW w:w="0" w:type="auto"/>
            <w:shd w:val="clear" w:color="auto" w:fill="auto"/>
          </w:tcPr>
          <w:p w:rsidR="000467A1" w:rsidRPr="00CA3C20" w:rsidRDefault="000467A1" w:rsidP="004B0B6A">
            <w:pPr>
              <w:rPr>
                <w:b/>
                <w:szCs w:val="26"/>
              </w:rPr>
            </w:pPr>
            <w:r w:rsidRPr="00CA3C20">
              <w:rPr>
                <w:b/>
                <w:szCs w:val="26"/>
              </w:rPr>
              <w:t>Description</w:t>
            </w:r>
          </w:p>
        </w:tc>
      </w:tr>
      <w:tr w:rsidR="000467A1" w:rsidRPr="003249DD" w:rsidTr="004B0B6A">
        <w:trPr>
          <w:jc w:val="center"/>
        </w:trPr>
        <w:tc>
          <w:tcPr>
            <w:tcW w:w="0" w:type="auto"/>
            <w:shd w:val="clear" w:color="auto" w:fill="auto"/>
          </w:tcPr>
          <w:p w:rsidR="000467A1" w:rsidRPr="00CA3C20" w:rsidRDefault="000467A1" w:rsidP="004B0B6A">
            <w:pPr>
              <w:rPr>
                <w:szCs w:val="26"/>
              </w:rPr>
            </w:pPr>
            <w:r w:rsidRPr="00CA3C20">
              <w:rPr>
                <w:szCs w:val="26"/>
              </w:rPr>
              <w:t>1380</w:t>
            </w:r>
          </w:p>
        </w:tc>
        <w:tc>
          <w:tcPr>
            <w:tcW w:w="0" w:type="auto"/>
            <w:shd w:val="clear" w:color="auto" w:fill="auto"/>
          </w:tcPr>
          <w:p w:rsidR="000467A1" w:rsidRPr="00CA3C20" w:rsidRDefault="000467A1" w:rsidP="004B0B6A">
            <w:pPr>
              <w:rPr>
                <w:szCs w:val="26"/>
              </w:rPr>
            </w:pPr>
            <w:r w:rsidRPr="00CA3C20">
              <w:rPr>
                <w:szCs w:val="26"/>
              </w:rPr>
              <w:t xml:space="preserve">Part 35 FPA Traditional Cost of Service and Market Based Rate Program </w:t>
            </w:r>
          </w:p>
        </w:tc>
      </w:tr>
      <w:tr w:rsidR="000467A1" w:rsidRPr="003249DD" w:rsidTr="004B0B6A">
        <w:trPr>
          <w:jc w:val="center"/>
        </w:trPr>
        <w:tc>
          <w:tcPr>
            <w:tcW w:w="0" w:type="auto"/>
            <w:shd w:val="clear" w:color="auto" w:fill="auto"/>
          </w:tcPr>
          <w:p w:rsidR="000467A1" w:rsidRPr="00CA3C20" w:rsidRDefault="000467A1" w:rsidP="004B0B6A">
            <w:pPr>
              <w:rPr>
                <w:szCs w:val="26"/>
              </w:rPr>
            </w:pPr>
            <w:r w:rsidRPr="00CA3C20">
              <w:rPr>
                <w:szCs w:val="26"/>
              </w:rPr>
              <w:t>1390</w:t>
            </w:r>
          </w:p>
        </w:tc>
        <w:tc>
          <w:tcPr>
            <w:tcW w:w="0" w:type="auto"/>
            <w:shd w:val="clear" w:color="auto" w:fill="auto"/>
          </w:tcPr>
          <w:p w:rsidR="000467A1" w:rsidRPr="00CA3C20" w:rsidRDefault="000467A1" w:rsidP="004B0B6A">
            <w:pPr>
              <w:rPr>
                <w:szCs w:val="26"/>
              </w:rPr>
            </w:pPr>
            <w:r w:rsidRPr="00CA3C20">
              <w:rPr>
                <w:szCs w:val="26"/>
              </w:rPr>
              <w:t xml:space="preserve">Part 35 FPA Market Based Rate Program </w:t>
            </w:r>
          </w:p>
        </w:tc>
      </w:tr>
      <w:tr w:rsidR="000467A1" w:rsidRPr="003249DD" w:rsidTr="004B0B6A">
        <w:trPr>
          <w:jc w:val="center"/>
        </w:trPr>
        <w:tc>
          <w:tcPr>
            <w:tcW w:w="0" w:type="auto"/>
            <w:shd w:val="clear" w:color="auto" w:fill="auto"/>
          </w:tcPr>
          <w:p w:rsidR="000467A1" w:rsidRPr="00CA3C20" w:rsidRDefault="000467A1" w:rsidP="004B0B6A">
            <w:pPr>
              <w:rPr>
                <w:szCs w:val="26"/>
              </w:rPr>
            </w:pPr>
            <w:r w:rsidRPr="00CA3C20">
              <w:rPr>
                <w:szCs w:val="26"/>
              </w:rPr>
              <w:t>1400</w:t>
            </w:r>
          </w:p>
        </w:tc>
        <w:tc>
          <w:tcPr>
            <w:tcW w:w="0" w:type="auto"/>
            <w:shd w:val="clear" w:color="auto" w:fill="auto"/>
          </w:tcPr>
          <w:p w:rsidR="000467A1" w:rsidRPr="00CA3C20" w:rsidRDefault="000467A1" w:rsidP="004B0B6A">
            <w:pPr>
              <w:rPr>
                <w:szCs w:val="26"/>
              </w:rPr>
            </w:pPr>
            <w:r w:rsidRPr="00CA3C20">
              <w:rPr>
                <w:szCs w:val="26"/>
              </w:rPr>
              <w:t xml:space="preserve">Part 154 NGA Gas Pipelines Program </w:t>
            </w:r>
          </w:p>
        </w:tc>
      </w:tr>
      <w:tr w:rsidR="000467A1" w:rsidRPr="003249DD" w:rsidTr="004B0B6A">
        <w:trPr>
          <w:jc w:val="center"/>
        </w:trPr>
        <w:tc>
          <w:tcPr>
            <w:tcW w:w="0" w:type="auto"/>
            <w:shd w:val="clear" w:color="auto" w:fill="auto"/>
          </w:tcPr>
          <w:p w:rsidR="000467A1" w:rsidRPr="00CA3C20" w:rsidRDefault="000467A1" w:rsidP="004B0B6A">
            <w:pPr>
              <w:rPr>
                <w:szCs w:val="26"/>
              </w:rPr>
            </w:pPr>
            <w:r w:rsidRPr="00CA3C20">
              <w:rPr>
                <w:szCs w:val="26"/>
              </w:rPr>
              <w:t>1410</w:t>
            </w:r>
          </w:p>
        </w:tc>
        <w:tc>
          <w:tcPr>
            <w:tcW w:w="0" w:type="auto"/>
            <w:shd w:val="clear" w:color="auto" w:fill="auto"/>
          </w:tcPr>
          <w:p w:rsidR="000467A1" w:rsidRPr="00CA3C20" w:rsidRDefault="000467A1" w:rsidP="004B0B6A">
            <w:pPr>
              <w:rPr>
                <w:szCs w:val="26"/>
              </w:rPr>
            </w:pPr>
            <w:r w:rsidRPr="00CA3C20">
              <w:rPr>
                <w:szCs w:val="26"/>
              </w:rPr>
              <w:t xml:space="preserve">Part 284 NGPA 311 Gas Pipelines Program </w:t>
            </w:r>
          </w:p>
        </w:tc>
      </w:tr>
      <w:tr w:rsidR="000467A1" w:rsidRPr="003249DD" w:rsidTr="004B0B6A">
        <w:trPr>
          <w:jc w:val="center"/>
        </w:trPr>
        <w:tc>
          <w:tcPr>
            <w:tcW w:w="0" w:type="auto"/>
            <w:shd w:val="clear" w:color="auto" w:fill="auto"/>
          </w:tcPr>
          <w:p w:rsidR="000467A1" w:rsidRPr="00CA3C20" w:rsidRDefault="000467A1" w:rsidP="004B0B6A">
            <w:pPr>
              <w:rPr>
                <w:szCs w:val="26"/>
              </w:rPr>
            </w:pPr>
            <w:r w:rsidRPr="00CA3C20">
              <w:rPr>
                <w:szCs w:val="26"/>
              </w:rPr>
              <w:t>1420</w:t>
            </w:r>
          </w:p>
        </w:tc>
        <w:tc>
          <w:tcPr>
            <w:tcW w:w="0" w:type="auto"/>
            <w:shd w:val="clear" w:color="auto" w:fill="auto"/>
          </w:tcPr>
          <w:p w:rsidR="000467A1" w:rsidRPr="00CA3C20" w:rsidRDefault="000467A1" w:rsidP="004B0B6A">
            <w:pPr>
              <w:rPr>
                <w:szCs w:val="26"/>
              </w:rPr>
            </w:pPr>
            <w:r w:rsidRPr="00CA3C20">
              <w:rPr>
                <w:szCs w:val="26"/>
              </w:rPr>
              <w:t xml:space="preserve">Part 341 Oil Pipelines Program </w:t>
            </w:r>
          </w:p>
        </w:tc>
      </w:tr>
    </w:tbl>
    <w:p w:rsidR="000467A1" w:rsidRDefault="000467A1" w:rsidP="000467A1">
      <w:pPr>
        <w:pStyle w:val="FERCparanumber"/>
        <w:numPr>
          <w:ilvl w:val="0"/>
          <w:numId w:val="0"/>
        </w:numPr>
      </w:pPr>
    </w:p>
    <w:p w:rsidR="00F075A5" w:rsidRPr="00680690" w:rsidRDefault="0060522E" w:rsidP="007A6EFC">
      <w:pPr>
        <w:pStyle w:val="FERCparanumber"/>
        <w:numPr>
          <w:ilvl w:val="0"/>
          <w:numId w:val="37"/>
        </w:numPr>
      </w:pPr>
      <w:r w:rsidRPr="00680690">
        <w:t>In those</w:t>
      </w:r>
      <w:r w:rsidR="00F075A5" w:rsidRPr="00680690">
        <w:t xml:space="preserve"> instances</w:t>
      </w:r>
      <w:r w:rsidRPr="00680690">
        <w:t xml:space="preserve"> when</w:t>
      </w:r>
      <w:r w:rsidR="00EF7ECB" w:rsidRPr="00680690">
        <w:t xml:space="preserve"> a</w:t>
      </w:r>
      <w:r w:rsidR="00F075A5" w:rsidRPr="00680690">
        <w:t xml:space="preserve"> settlement relates to more than one docket or the filing of a settlement generates a new</w:t>
      </w:r>
      <w:r w:rsidR="008B08AB" w:rsidRPr="00680690">
        <w:t xml:space="preserve"> root</w:t>
      </w:r>
      <w:r w:rsidR="00F075A5" w:rsidRPr="00680690">
        <w:t xml:space="preserve"> docket</w:t>
      </w:r>
      <w:r w:rsidR="008B08AB" w:rsidRPr="00680690">
        <w:t xml:space="preserve"> number</w:t>
      </w:r>
      <w:r w:rsidRPr="00680690">
        <w:t xml:space="preserve">, the filer is required to </w:t>
      </w:r>
      <w:r w:rsidR="00010917" w:rsidRPr="00680690">
        <w:t xml:space="preserve">include all dockets in its filing description in eFiling and file an </w:t>
      </w:r>
      <w:r w:rsidRPr="00680690">
        <w:t xml:space="preserve">update </w:t>
      </w:r>
      <w:r w:rsidR="00010917" w:rsidRPr="00680690">
        <w:t xml:space="preserve">in </w:t>
      </w:r>
      <w:r w:rsidRPr="00680690">
        <w:t xml:space="preserve">all the </w:t>
      </w:r>
      <w:r w:rsidR="00EF7ECB" w:rsidRPr="00680690">
        <w:t xml:space="preserve">related </w:t>
      </w:r>
      <w:r w:rsidRPr="00680690">
        <w:t>dockets</w:t>
      </w:r>
      <w:r w:rsidR="00F075A5" w:rsidRPr="00680690">
        <w:t>.</w:t>
      </w:r>
      <w:r w:rsidR="00EF7ECB" w:rsidRPr="00680690">
        <w:t xml:space="preserve">  This </w:t>
      </w:r>
      <w:r w:rsidR="00010917" w:rsidRPr="00680690">
        <w:t>update</w:t>
      </w:r>
      <w:r w:rsidR="00EF7ECB" w:rsidRPr="00680690">
        <w:t xml:space="preserve"> </w:t>
      </w:r>
      <w:r w:rsidR="001F5E33" w:rsidRPr="00680690">
        <w:t>must</w:t>
      </w:r>
      <w:r w:rsidR="00EF7ECB" w:rsidRPr="00680690">
        <w:t xml:space="preserve"> reference </w:t>
      </w:r>
      <w:r w:rsidR="007A6EFC" w:rsidRPr="00680690">
        <w:t>the docket in which the settlement was filed</w:t>
      </w:r>
      <w:r w:rsidR="00EF7ECB" w:rsidRPr="00680690">
        <w:t xml:space="preserve"> </w:t>
      </w:r>
      <w:r w:rsidR="007A6EFC" w:rsidRPr="00680690">
        <w:t>and</w:t>
      </w:r>
      <w:r w:rsidR="001F5E33" w:rsidRPr="00680690">
        <w:t xml:space="preserve"> the settlement’s</w:t>
      </w:r>
      <w:r w:rsidR="007A6EFC" w:rsidRPr="00680690">
        <w:t xml:space="preserve"> eLibrary accession number</w:t>
      </w:r>
      <w:r w:rsidR="00EF7ECB" w:rsidRPr="00680690">
        <w:t>.</w:t>
      </w:r>
      <w:r w:rsidR="005D3B62" w:rsidRPr="00680690">
        <w:rPr>
          <w:rStyle w:val="FootnoteReference"/>
        </w:rPr>
        <w:footnoteReference w:id="4"/>
      </w:r>
      <w:r w:rsidR="007F566C" w:rsidRPr="00680690">
        <w:t xml:space="preserve">  This procedu</w:t>
      </w:r>
      <w:r w:rsidR="00F245E9" w:rsidRPr="00680690">
        <w:t>re also must be followed when filing motions for interim implementation of settlement rates</w:t>
      </w:r>
      <w:r w:rsidR="007A6EFC" w:rsidRPr="00680690">
        <w:t xml:space="preserve"> that implicate more than one docket</w:t>
      </w:r>
      <w:r w:rsidR="00F245E9" w:rsidRPr="00680690">
        <w:t xml:space="preserve">. </w:t>
      </w:r>
      <w:r w:rsidR="007F566C" w:rsidRPr="00680690">
        <w:t xml:space="preserve"> </w:t>
      </w:r>
      <w:r w:rsidR="00F075A5" w:rsidRPr="00680690">
        <w:t xml:space="preserve"> </w:t>
      </w:r>
    </w:p>
    <w:p w:rsidR="000A708F" w:rsidRDefault="000A708F" w:rsidP="000A708F">
      <w:pPr>
        <w:pStyle w:val="FERCparanumber"/>
        <w:numPr>
          <w:ilvl w:val="0"/>
          <w:numId w:val="37"/>
        </w:numPr>
      </w:pPr>
      <w:r>
        <w:t xml:space="preserve">The below checklist is provided as additional guidance for those individuals responsible for </w:t>
      </w:r>
      <w:r w:rsidR="003E36EB">
        <w:t xml:space="preserve">filing </w:t>
      </w:r>
      <w:r>
        <w:t>settlement</w:t>
      </w:r>
      <w:r w:rsidR="003E36EB">
        <w:t>s and interim rate</w:t>
      </w:r>
      <w:r>
        <w:t xml:space="preserve"> filing</w:t>
      </w:r>
      <w:r w:rsidR="004C44B0">
        <w:t>s</w:t>
      </w:r>
      <w:r>
        <w:t>:</w:t>
      </w:r>
    </w:p>
    <w:p w:rsidR="000A708F" w:rsidRPr="000A708F" w:rsidRDefault="000A708F" w:rsidP="000A708F">
      <w:pPr>
        <w:pStyle w:val="FERCparanumber"/>
        <w:numPr>
          <w:ilvl w:val="3"/>
          <w:numId w:val="40"/>
        </w:numPr>
        <w:spacing w:after="0"/>
        <w:ind w:left="1080"/>
      </w:pPr>
      <w:r w:rsidRPr="000A708F">
        <w:rPr>
          <w:szCs w:val="26"/>
        </w:rPr>
        <w:t>All settlement docu</w:t>
      </w:r>
      <w:r w:rsidR="005974E5">
        <w:rPr>
          <w:szCs w:val="26"/>
        </w:rPr>
        <w:t>ments must be in one of the</w:t>
      </w:r>
      <w:r w:rsidRPr="000A708F">
        <w:rPr>
          <w:szCs w:val="26"/>
        </w:rPr>
        <w:t xml:space="preserve"> </w:t>
      </w:r>
      <w:hyperlink r:id="rId12" w:history="1">
        <w:r w:rsidRPr="007D2211">
          <w:rPr>
            <w:rStyle w:val="Hyperlink"/>
            <w:szCs w:val="26"/>
          </w:rPr>
          <w:t>approved electronic</w:t>
        </w:r>
        <w:r w:rsidR="004C44B0" w:rsidRPr="007D2211">
          <w:rPr>
            <w:rStyle w:val="Hyperlink"/>
            <w:szCs w:val="26"/>
          </w:rPr>
          <w:t xml:space="preserve"> file</w:t>
        </w:r>
        <w:r w:rsidRPr="007D2211">
          <w:rPr>
            <w:rStyle w:val="Hyperlink"/>
            <w:szCs w:val="26"/>
          </w:rPr>
          <w:t xml:space="preserve"> formats</w:t>
        </w:r>
      </w:hyperlink>
      <w:r w:rsidR="005974E5">
        <w:rPr>
          <w:szCs w:val="26"/>
        </w:rPr>
        <w:t xml:space="preserve"> established by the Commission’s Office of the Secretary (OSEC)</w:t>
      </w:r>
      <w:r w:rsidR="007D2211">
        <w:rPr>
          <w:szCs w:val="26"/>
        </w:rPr>
        <w:t xml:space="preserve"> and</w:t>
      </w:r>
      <w:r w:rsidR="007A6EFC">
        <w:rPr>
          <w:szCs w:val="26"/>
        </w:rPr>
        <w:t xml:space="preserve"> must</w:t>
      </w:r>
      <w:r w:rsidR="007D2211">
        <w:rPr>
          <w:szCs w:val="26"/>
        </w:rPr>
        <w:t xml:space="preserve"> comply with the following requirements:</w:t>
      </w:r>
    </w:p>
    <w:p w:rsidR="000A708F" w:rsidRPr="000A708F" w:rsidRDefault="000A708F" w:rsidP="000A708F">
      <w:pPr>
        <w:pStyle w:val="FERCparanumber"/>
        <w:numPr>
          <w:ilvl w:val="4"/>
          <w:numId w:val="40"/>
        </w:numPr>
        <w:spacing w:after="0"/>
        <w:ind w:left="1800"/>
      </w:pPr>
      <w:r w:rsidRPr="000A708F">
        <w:rPr>
          <w:szCs w:val="26"/>
        </w:rPr>
        <w:t xml:space="preserve">All </w:t>
      </w:r>
      <w:r w:rsidR="007D2211">
        <w:rPr>
          <w:szCs w:val="26"/>
        </w:rPr>
        <w:t>PDF documents must</w:t>
      </w:r>
      <w:r w:rsidRPr="000A708F">
        <w:rPr>
          <w:szCs w:val="26"/>
        </w:rPr>
        <w:t xml:space="preserve"> be run through text recognition software</w:t>
      </w:r>
      <w:r w:rsidR="001B11A6">
        <w:rPr>
          <w:szCs w:val="26"/>
        </w:rPr>
        <w:t xml:space="preserve"> before submission.</w:t>
      </w:r>
    </w:p>
    <w:p w:rsidR="000A708F" w:rsidRPr="000A708F" w:rsidRDefault="007D2211" w:rsidP="000A708F">
      <w:pPr>
        <w:pStyle w:val="FERCparanumber"/>
        <w:numPr>
          <w:ilvl w:val="4"/>
          <w:numId w:val="40"/>
        </w:numPr>
        <w:spacing w:after="0"/>
        <w:ind w:left="1800"/>
      </w:pPr>
      <w:r>
        <w:rPr>
          <w:szCs w:val="26"/>
        </w:rPr>
        <w:t>All formulas must</w:t>
      </w:r>
      <w:r w:rsidR="000A708F" w:rsidRPr="000A708F">
        <w:rPr>
          <w:szCs w:val="26"/>
        </w:rPr>
        <w:t xml:space="preserve"> be</w:t>
      </w:r>
      <w:r>
        <w:rPr>
          <w:szCs w:val="26"/>
        </w:rPr>
        <w:t xml:space="preserve"> submitted</w:t>
      </w:r>
      <w:r w:rsidR="000A708F" w:rsidRPr="000A708F">
        <w:rPr>
          <w:szCs w:val="26"/>
        </w:rPr>
        <w:t xml:space="preserve"> in spreadsheet format with</w:t>
      </w:r>
      <w:r w:rsidR="001B11A6">
        <w:rPr>
          <w:szCs w:val="26"/>
        </w:rPr>
        <w:t xml:space="preserve"> the</w:t>
      </w:r>
      <w:r w:rsidR="000A708F" w:rsidRPr="000A708F">
        <w:rPr>
          <w:szCs w:val="26"/>
        </w:rPr>
        <w:t xml:space="preserve"> formulas preserved</w:t>
      </w:r>
      <w:r w:rsidR="001B11A6">
        <w:rPr>
          <w:szCs w:val="26"/>
        </w:rPr>
        <w:t>.</w:t>
      </w:r>
    </w:p>
    <w:p w:rsidR="000A708F" w:rsidRPr="000A708F" w:rsidRDefault="000A708F" w:rsidP="000A708F">
      <w:pPr>
        <w:pStyle w:val="FERCparanumber"/>
        <w:numPr>
          <w:ilvl w:val="0"/>
          <w:numId w:val="0"/>
        </w:numPr>
        <w:spacing w:after="0"/>
        <w:ind w:left="1800"/>
      </w:pPr>
    </w:p>
    <w:p w:rsidR="001B11A6" w:rsidRPr="001B11A6" w:rsidRDefault="000A708F" w:rsidP="000A708F">
      <w:pPr>
        <w:pStyle w:val="FERCparanumber"/>
        <w:numPr>
          <w:ilvl w:val="3"/>
          <w:numId w:val="40"/>
        </w:numPr>
        <w:spacing w:after="0"/>
        <w:ind w:left="1080"/>
      </w:pPr>
      <w:r w:rsidRPr="000A708F">
        <w:rPr>
          <w:szCs w:val="26"/>
        </w:rPr>
        <w:t>The</w:t>
      </w:r>
      <w:r w:rsidR="001B11A6">
        <w:rPr>
          <w:szCs w:val="26"/>
        </w:rPr>
        <w:t xml:space="preserve"> individual filing the settlement must be</w:t>
      </w:r>
      <w:r w:rsidR="007D2211">
        <w:rPr>
          <w:szCs w:val="26"/>
        </w:rPr>
        <w:t>:</w:t>
      </w:r>
    </w:p>
    <w:p w:rsidR="000A708F" w:rsidRPr="000A708F" w:rsidRDefault="000A708F" w:rsidP="000A708F">
      <w:pPr>
        <w:pStyle w:val="FERCparanumber"/>
        <w:numPr>
          <w:ilvl w:val="4"/>
          <w:numId w:val="40"/>
        </w:numPr>
        <w:spacing w:after="0"/>
        <w:ind w:left="1800"/>
      </w:pPr>
      <w:r w:rsidRPr="000A708F">
        <w:rPr>
          <w:szCs w:val="26"/>
        </w:rPr>
        <w:t>eRegistered with the</w:t>
      </w:r>
      <w:r w:rsidR="007D2211">
        <w:rPr>
          <w:szCs w:val="26"/>
        </w:rPr>
        <w:t xml:space="preserve"> Commission.</w:t>
      </w:r>
    </w:p>
    <w:p w:rsidR="000A708F" w:rsidRPr="000A708F" w:rsidRDefault="000A708F" w:rsidP="000A708F">
      <w:pPr>
        <w:pStyle w:val="FERCparanumber"/>
        <w:numPr>
          <w:ilvl w:val="4"/>
          <w:numId w:val="40"/>
        </w:numPr>
        <w:spacing w:after="0"/>
        <w:ind w:left="1800"/>
      </w:pPr>
      <w:r w:rsidRPr="000A708F">
        <w:rPr>
          <w:szCs w:val="26"/>
        </w:rPr>
        <w:t>Listed by the regulated entity as an Agent permitted to make eTariff filings on behalf of the regulated entity</w:t>
      </w:r>
      <w:r w:rsidR="007D2211">
        <w:rPr>
          <w:szCs w:val="26"/>
        </w:rPr>
        <w:t>.</w:t>
      </w:r>
    </w:p>
    <w:p w:rsidR="000A708F" w:rsidRDefault="000A708F" w:rsidP="000A708F">
      <w:pPr>
        <w:pStyle w:val="FERCparanumber"/>
        <w:numPr>
          <w:ilvl w:val="0"/>
          <w:numId w:val="0"/>
        </w:numPr>
        <w:spacing w:after="0"/>
        <w:rPr>
          <w:szCs w:val="26"/>
        </w:rPr>
      </w:pPr>
    </w:p>
    <w:p w:rsidR="007D2211" w:rsidRPr="007D2211" w:rsidRDefault="007D2211" w:rsidP="00CA3C20">
      <w:pPr>
        <w:pStyle w:val="FERCparanumber"/>
        <w:numPr>
          <w:ilvl w:val="3"/>
          <w:numId w:val="40"/>
        </w:numPr>
        <w:spacing w:after="0"/>
        <w:ind w:left="1080"/>
      </w:pPr>
      <w:r>
        <w:t>Software and Data Requirements Associated with eTariff XML Package</w:t>
      </w:r>
      <w:r w:rsidR="007A6EFC">
        <w:t>s</w:t>
      </w:r>
      <w:r>
        <w:t>:</w:t>
      </w:r>
    </w:p>
    <w:p w:rsidR="000A708F" w:rsidRPr="00CA3C20" w:rsidRDefault="007D2211" w:rsidP="00CA3C20">
      <w:pPr>
        <w:pStyle w:val="FERCparanumber"/>
        <w:numPr>
          <w:ilvl w:val="4"/>
          <w:numId w:val="40"/>
        </w:numPr>
        <w:spacing w:after="0"/>
        <w:ind w:left="1800"/>
      </w:pPr>
      <w:r>
        <w:rPr>
          <w:szCs w:val="26"/>
        </w:rPr>
        <w:t>The filer must have access to</w:t>
      </w:r>
      <w:r w:rsidR="000A708F" w:rsidRPr="00CA3C20">
        <w:rPr>
          <w:szCs w:val="26"/>
        </w:rPr>
        <w:t xml:space="preserve"> eTariff XML packaging software</w:t>
      </w:r>
      <w:r>
        <w:rPr>
          <w:szCs w:val="26"/>
        </w:rPr>
        <w:t>.</w:t>
      </w:r>
    </w:p>
    <w:p w:rsidR="000A708F" w:rsidRPr="00CA3C20" w:rsidRDefault="000A708F" w:rsidP="007D2211">
      <w:pPr>
        <w:pStyle w:val="FERCparanumber"/>
        <w:numPr>
          <w:ilvl w:val="4"/>
          <w:numId w:val="40"/>
        </w:numPr>
        <w:spacing w:after="0"/>
        <w:ind w:left="1800"/>
      </w:pPr>
      <w:r w:rsidRPr="00CA3C20">
        <w:rPr>
          <w:szCs w:val="26"/>
        </w:rPr>
        <w:t xml:space="preserve">If the proceeding was initiated through an eTariff filing, the </w:t>
      </w:r>
      <w:r w:rsidR="007D2211">
        <w:rPr>
          <w:szCs w:val="26"/>
        </w:rPr>
        <w:t>“</w:t>
      </w:r>
      <w:r w:rsidRPr="00CA3C20">
        <w:rPr>
          <w:szCs w:val="26"/>
        </w:rPr>
        <w:t>Filing Identifier</w:t>
      </w:r>
      <w:r w:rsidR="007D2211">
        <w:rPr>
          <w:szCs w:val="26"/>
        </w:rPr>
        <w:t>”</w:t>
      </w:r>
      <w:r w:rsidRPr="00CA3C20">
        <w:rPr>
          <w:szCs w:val="26"/>
        </w:rPr>
        <w:t xml:space="preserve"> of that</w:t>
      </w:r>
      <w:r w:rsidR="007D2211">
        <w:rPr>
          <w:szCs w:val="26"/>
        </w:rPr>
        <w:t xml:space="preserve"> original</w:t>
      </w:r>
      <w:r w:rsidRPr="00CA3C20">
        <w:rPr>
          <w:szCs w:val="26"/>
        </w:rPr>
        <w:t xml:space="preserve"> filing </w:t>
      </w:r>
      <w:r w:rsidR="007D2211">
        <w:rPr>
          <w:szCs w:val="26"/>
        </w:rPr>
        <w:t xml:space="preserve">must be entered as the </w:t>
      </w:r>
      <w:r w:rsidR="007D2211">
        <w:t>“</w:t>
      </w:r>
      <w:r w:rsidRPr="007D2211">
        <w:rPr>
          <w:szCs w:val="26"/>
        </w:rPr>
        <w:t>Associated Filing Identifier</w:t>
      </w:r>
      <w:r w:rsidR="007D2211">
        <w:rPr>
          <w:szCs w:val="26"/>
        </w:rPr>
        <w:t>.”</w:t>
      </w:r>
    </w:p>
    <w:p w:rsidR="000A708F" w:rsidRPr="00CA3C20" w:rsidRDefault="000A708F" w:rsidP="00CA3C20">
      <w:pPr>
        <w:pStyle w:val="FERCparanumber"/>
        <w:numPr>
          <w:ilvl w:val="4"/>
          <w:numId w:val="40"/>
        </w:numPr>
        <w:spacing w:after="0"/>
        <w:ind w:left="1800"/>
      </w:pPr>
      <w:r w:rsidRPr="00CA3C20">
        <w:rPr>
          <w:szCs w:val="26"/>
        </w:rPr>
        <w:t>The regulated entity</w:t>
      </w:r>
      <w:r w:rsidR="007D2211">
        <w:rPr>
          <w:szCs w:val="26"/>
        </w:rPr>
        <w:t xml:space="preserve"> must have a Commission </w:t>
      </w:r>
      <w:r w:rsidRPr="00CA3C20">
        <w:rPr>
          <w:szCs w:val="26"/>
        </w:rPr>
        <w:t>provided Company Identifier (CID)</w:t>
      </w:r>
      <w:r w:rsidR="007D2211">
        <w:rPr>
          <w:szCs w:val="26"/>
        </w:rPr>
        <w:t>.</w:t>
      </w:r>
    </w:p>
    <w:p w:rsidR="007D2211" w:rsidRPr="007D2211" w:rsidRDefault="000A708F" w:rsidP="00CA3C20">
      <w:pPr>
        <w:pStyle w:val="FERCparanumber"/>
        <w:numPr>
          <w:ilvl w:val="4"/>
          <w:numId w:val="40"/>
        </w:numPr>
        <w:spacing w:after="0"/>
        <w:ind w:left="1800"/>
      </w:pPr>
      <w:r w:rsidRPr="00CA3C20">
        <w:rPr>
          <w:i/>
          <w:szCs w:val="26"/>
        </w:rPr>
        <w:t>Pro forma</w:t>
      </w:r>
      <w:r w:rsidRPr="00CA3C20">
        <w:rPr>
          <w:szCs w:val="26"/>
        </w:rPr>
        <w:t xml:space="preserve"> </w:t>
      </w:r>
      <w:r w:rsidR="007D2211">
        <w:rPr>
          <w:szCs w:val="26"/>
        </w:rPr>
        <w:t xml:space="preserve">tariff records </w:t>
      </w:r>
      <w:r w:rsidRPr="00CA3C20">
        <w:rPr>
          <w:szCs w:val="26"/>
        </w:rPr>
        <w:t xml:space="preserve">(preferred) </w:t>
      </w:r>
      <w:r w:rsidR="007D2211">
        <w:rPr>
          <w:szCs w:val="26"/>
        </w:rPr>
        <w:t>or actual tariff r</w:t>
      </w:r>
      <w:r w:rsidRPr="00CA3C20">
        <w:rPr>
          <w:szCs w:val="26"/>
        </w:rPr>
        <w:t>ecords</w:t>
      </w:r>
      <w:r w:rsidR="007D2211">
        <w:rPr>
          <w:szCs w:val="26"/>
        </w:rPr>
        <w:t xml:space="preserve"> should be included as part of the settlement, as applicable. </w:t>
      </w:r>
    </w:p>
    <w:p w:rsidR="004F5B85" w:rsidRPr="00680690" w:rsidRDefault="004F5B85" w:rsidP="004F5B85">
      <w:pPr>
        <w:pStyle w:val="FERCparanumber"/>
        <w:numPr>
          <w:ilvl w:val="5"/>
          <w:numId w:val="40"/>
        </w:numPr>
        <w:spacing w:after="0"/>
        <w:ind w:left="2160"/>
      </w:pPr>
      <w:r w:rsidRPr="00680690">
        <w:t xml:space="preserve">The transmittal letter accompanying the settlement filing should state whether the corresponding tariff records are </w:t>
      </w:r>
      <w:r w:rsidRPr="00680690">
        <w:rPr>
          <w:i/>
        </w:rPr>
        <w:t>pro forma</w:t>
      </w:r>
      <w:r w:rsidRPr="00680690">
        <w:t xml:space="preserve"> or not, and</w:t>
      </w:r>
      <w:r w:rsidR="00A939ED" w:rsidRPr="00680690">
        <w:t>, for live tariff records,</w:t>
      </w:r>
      <w:r w:rsidRPr="00680690">
        <w:t xml:space="preserve"> the </w:t>
      </w:r>
      <w:r w:rsidR="00A939ED" w:rsidRPr="00680690">
        <w:t>date on which the rates become effective under the settlement</w:t>
      </w:r>
      <w:r w:rsidR="000A6528">
        <w:t>.</w:t>
      </w:r>
    </w:p>
    <w:p w:rsidR="000A708F" w:rsidRPr="00CA3C20" w:rsidRDefault="000A708F" w:rsidP="002D0532">
      <w:pPr>
        <w:pStyle w:val="FERCparanumber"/>
        <w:numPr>
          <w:ilvl w:val="5"/>
          <w:numId w:val="40"/>
        </w:numPr>
        <w:spacing w:after="0"/>
        <w:ind w:left="2160"/>
      </w:pPr>
      <w:r w:rsidRPr="00CA3C20">
        <w:rPr>
          <w:szCs w:val="26"/>
        </w:rPr>
        <w:t xml:space="preserve">If actual </w:t>
      </w:r>
      <w:r w:rsidR="007D2211">
        <w:rPr>
          <w:szCs w:val="26"/>
        </w:rPr>
        <w:t>tariff records are submitted, confirm</w:t>
      </w:r>
      <w:r w:rsidR="002D0532">
        <w:rPr>
          <w:szCs w:val="26"/>
        </w:rPr>
        <w:t xml:space="preserve"> that the submitted</w:t>
      </w:r>
      <w:r w:rsidR="007D2211">
        <w:rPr>
          <w:szCs w:val="26"/>
        </w:rPr>
        <w:t xml:space="preserve"> tariff records account for all provisions of the settlement.</w:t>
      </w:r>
    </w:p>
    <w:p w:rsidR="000A708F" w:rsidRPr="00CA3C20" w:rsidRDefault="000A708F" w:rsidP="002D0532">
      <w:pPr>
        <w:pStyle w:val="FERCparanumber"/>
        <w:numPr>
          <w:ilvl w:val="4"/>
          <w:numId w:val="40"/>
        </w:numPr>
        <w:spacing w:after="0"/>
        <w:ind w:left="1800"/>
      </w:pPr>
      <w:r w:rsidRPr="00CA3C20">
        <w:rPr>
          <w:szCs w:val="26"/>
        </w:rPr>
        <w:t>If the settlement addresses</w:t>
      </w:r>
      <w:r w:rsidR="002D0532">
        <w:rPr>
          <w:szCs w:val="26"/>
        </w:rPr>
        <w:t xml:space="preserve"> more than one proceeding or implicates docket numbers in addition to the docket number associated with the original “Filing Identifier,” all additional docket numbers must be listed in the “Filing Title/Description” field.</w:t>
      </w:r>
    </w:p>
    <w:p w:rsidR="00CA3C20" w:rsidRDefault="00CA3C20" w:rsidP="00CA3C20">
      <w:pPr>
        <w:pStyle w:val="FERCparanumber"/>
        <w:numPr>
          <w:ilvl w:val="0"/>
          <w:numId w:val="0"/>
        </w:numPr>
        <w:spacing w:after="0"/>
        <w:rPr>
          <w:szCs w:val="26"/>
        </w:rPr>
      </w:pPr>
    </w:p>
    <w:p w:rsidR="00CA3C20" w:rsidRPr="00CA3C20" w:rsidRDefault="00316C04" w:rsidP="00CA3C20">
      <w:pPr>
        <w:pStyle w:val="FERCparanumber"/>
        <w:numPr>
          <w:ilvl w:val="3"/>
          <w:numId w:val="40"/>
        </w:numPr>
        <w:spacing w:after="0"/>
        <w:ind w:left="1080"/>
      </w:pPr>
      <w:r>
        <w:rPr>
          <w:szCs w:val="26"/>
        </w:rPr>
        <w:t>eFiling Requirements</w:t>
      </w:r>
      <w:r w:rsidR="000A708F" w:rsidRPr="00CA3C20">
        <w:rPr>
          <w:szCs w:val="26"/>
        </w:rPr>
        <w:t>:</w:t>
      </w:r>
    </w:p>
    <w:p w:rsidR="00316C04" w:rsidRDefault="00316C04" w:rsidP="00CA3C20">
      <w:pPr>
        <w:pStyle w:val="FERCparanumber"/>
        <w:numPr>
          <w:ilvl w:val="4"/>
          <w:numId w:val="40"/>
        </w:numPr>
        <w:spacing w:after="0"/>
        <w:ind w:left="1800"/>
      </w:pPr>
      <w:r>
        <w:t>The same CID must be used and associated with 1) the eRegistered filer, 2) the eFiling, and 3) the eTariff XML package.</w:t>
      </w:r>
    </w:p>
    <w:p w:rsidR="004F2C59" w:rsidRDefault="004F2C59" w:rsidP="00CA3C20">
      <w:pPr>
        <w:pStyle w:val="FERCparanumber"/>
        <w:numPr>
          <w:ilvl w:val="4"/>
          <w:numId w:val="40"/>
        </w:numPr>
        <w:spacing w:after="0"/>
        <w:ind w:left="1800"/>
      </w:pPr>
      <w:r>
        <w:t>If applicable, the filer should list any regulated entity co-applicants</w:t>
      </w:r>
      <w:r w:rsidR="00FD19E9">
        <w:t xml:space="preserve"> in the Commission’s eFiling system when prompted for co-applicants</w:t>
      </w:r>
      <w:r>
        <w:t>.</w:t>
      </w:r>
    </w:p>
    <w:p w:rsidR="000A708F" w:rsidRPr="00CA3C20" w:rsidRDefault="004F2C59" w:rsidP="004F2C59">
      <w:pPr>
        <w:pStyle w:val="FERCparanumber"/>
        <w:numPr>
          <w:ilvl w:val="4"/>
          <w:numId w:val="40"/>
        </w:numPr>
        <w:spacing w:after="0"/>
        <w:ind w:left="1800"/>
      </w:pPr>
      <w:r>
        <w:t>If applicable, the filer should list any additional eRegistered individuals or entities that should be included on OSEC’s official service list for the docket in which the filing is made.</w:t>
      </w:r>
    </w:p>
    <w:p w:rsidR="00CA3C20" w:rsidRDefault="00CA3C20" w:rsidP="00CA3C20">
      <w:pPr>
        <w:pStyle w:val="FERCparanumber"/>
        <w:numPr>
          <w:ilvl w:val="0"/>
          <w:numId w:val="0"/>
        </w:numPr>
        <w:spacing w:after="0"/>
        <w:rPr>
          <w:szCs w:val="26"/>
        </w:rPr>
      </w:pPr>
    </w:p>
    <w:p w:rsidR="00CB104F" w:rsidRPr="00680690" w:rsidRDefault="007A6EFC" w:rsidP="00CB104F">
      <w:pPr>
        <w:pStyle w:val="FERCparanumber"/>
        <w:numPr>
          <w:ilvl w:val="3"/>
          <w:numId w:val="40"/>
        </w:numPr>
        <w:spacing w:after="0"/>
        <w:ind w:left="1080"/>
      </w:pPr>
      <w:r w:rsidRPr="00680690">
        <w:rPr>
          <w:szCs w:val="26"/>
        </w:rPr>
        <w:t>Related</w:t>
      </w:r>
      <w:r w:rsidR="00CA3C20" w:rsidRPr="00680690">
        <w:rPr>
          <w:szCs w:val="26"/>
        </w:rPr>
        <w:t xml:space="preserve"> Requests for Interim Implementation of Settlement Rates</w:t>
      </w:r>
      <w:r w:rsidR="0006195F" w:rsidRPr="00680690">
        <w:rPr>
          <w:szCs w:val="26"/>
        </w:rPr>
        <w:t xml:space="preserve"> Before the Chief Judge</w:t>
      </w:r>
      <w:r w:rsidR="00680690">
        <w:rPr>
          <w:szCs w:val="26"/>
        </w:rPr>
        <w:t>:</w:t>
      </w:r>
      <w:r w:rsidR="00CA3C20" w:rsidRPr="00680690">
        <w:rPr>
          <w:szCs w:val="26"/>
        </w:rPr>
        <w:t xml:space="preserve"> </w:t>
      </w:r>
    </w:p>
    <w:p w:rsidR="00B44ED7" w:rsidRPr="00680690" w:rsidRDefault="00CB104F">
      <w:pPr>
        <w:pStyle w:val="FERCparanumber"/>
        <w:numPr>
          <w:ilvl w:val="4"/>
          <w:numId w:val="40"/>
        </w:numPr>
        <w:spacing w:after="0"/>
        <w:ind w:left="1800"/>
      </w:pPr>
      <w:r w:rsidRPr="00680690">
        <w:t>Motions for interim implementation of settlement rates and the tariff records requested for interim implementation should be filed separately from the settlement filing.</w:t>
      </w:r>
      <w:r w:rsidR="0006195F" w:rsidRPr="00680690">
        <w:rPr>
          <w:szCs w:val="26"/>
        </w:rPr>
        <w:t xml:space="preserve">  </w:t>
      </w:r>
      <w:r w:rsidR="00BD08E2" w:rsidRPr="00680690">
        <w:rPr>
          <w:szCs w:val="26"/>
        </w:rPr>
        <w:t>When filing the tariff records requested for interim implementation, they must be filed as an eTariff package and the filer must use one of the Rule 602 settlement TOFCs listed above</w:t>
      </w:r>
      <w:r w:rsidR="002C13A8" w:rsidRPr="00680690">
        <w:rPr>
          <w:szCs w:val="26"/>
        </w:rPr>
        <w:t>.</w:t>
      </w:r>
      <w:r w:rsidR="0006195F" w:rsidRPr="00680690">
        <w:rPr>
          <w:szCs w:val="26"/>
        </w:rPr>
        <w:t xml:space="preserve">  Interim rate motions directed to the Chief Judge</w:t>
      </w:r>
      <w:r w:rsidR="0006195F" w:rsidRPr="00680690">
        <w:t xml:space="preserve"> </w:t>
      </w:r>
      <w:r w:rsidR="00B44ED7" w:rsidRPr="00680690">
        <w:t xml:space="preserve">must include a statement and accompanying documentation as to </w:t>
      </w:r>
      <w:r w:rsidR="0006195F" w:rsidRPr="00680690">
        <w:t xml:space="preserve">how </w:t>
      </w:r>
      <w:r w:rsidR="00B44ED7" w:rsidRPr="00680690">
        <w:t>the rate proposed for interim implementation is lower than the currently effective rate.</w:t>
      </w:r>
    </w:p>
    <w:p w:rsidR="0048280C" w:rsidRPr="00680690" w:rsidRDefault="00DF5EDB">
      <w:pPr>
        <w:pStyle w:val="FERCparanumber"/>
        <w:numPr>
          <w:ilvl w:val="4"/>
          <w:numId w:val="40"/>
        </w:numPr>
        <w:spacing w:after="0"/>
        <w:ind w:left="1800"/>
      </w:pPr>
      <w:r w:rsidRPr="00680690">
        <w:t>If available, the eLibrary Accession Number of the settlement should be cross referenced in the transmittal letter to all interim rate motions.</w:t>
      </w:r>
      <w:r w:rsidRPr="00680690">
        <w:rPr>
          <w:szCs w:val="26"/>
        </w:rPr>
        <w:t xml:space="preserve">  </w:t>
      </w:r>
      <w:r w:rsidR="00CA3C20" w:rsidRPr="00680690">
        <w:rPr>
          <w:szCs w:val="26"/>
        </w:rPr>
        <w:t>Do not re-file the</w:t>
      </w:r>
      <w:r w:rsidR="00B44ED7" w:rsidRPr="00680690">
        <w:rPr>
          <w:szCs w:val="26"/>
        </w:rPr>
        <w:t xml:space="preserve"> entire settlement when filing the motion</w:t>
      </w:r>
      <w:r w:rsidR="007F566C" w:rsidRPr="00680690">
        <w:rPr>
          <w:szCs w:val="26"/>
        </w:rPr>
        <w:t>.</w:t>
      </w:r>
    </w:p>
    <w:p w:rsidR="00B61384" w:rsidRPr="00680690" w:rsidRDefault="0006195F" w:rsidP="00EE2BA1">
      <w:pPr>
        <w:pStyle w:val="FERCparanumber"/>
        <w:numPr>
          <w:ilvl w:val="4"/>
          <w:numId w:val="40"/>
        </w:numPr>
        <w:spacing w:after="0"/>
        <w:ind w:left="1800"/>
      </w:pPr>
      <w:r w:rsidRPr="00680690">
        <w:t>Interim rate filings must reference the “Associated Filing Identifier”</w:t>
      </w:r>
      <w:r w:rsidR="00DF5EDB" w:rsidRPr="00680690">
        <w:t xml:space="preserve"> used</w:t>
      </w:r>
      <w:r w:rsidR="00874414" w:rsidRPr="00680690">
        <w:t xml:space="preserve"> when making the settlement filing</w:t>
      </w:r>
      <w:r w:rsidR="00DF5EDB" w:rsidRPr="00680690">
        <w:t>, or if one was not used, the “Filing Identifier” of the settlement itself.</w:t>
      </w:r>
      <w:r w:rsidR="00556408" w:rsidRPr="00680690">
        <w:rPr>
          <w:szCs w:val="26"/>
        </w:rPr>
        <w:t xml:space="preserve"> </w:t>
      </w:r>
    </w:p>
    <w:p w:rsidR="000467A1" w:rsidRPr="00297C90" w:rsidRDefault="000467A1" w:rsidP="00972164">
      <w:pPr>
        <w:pStyle w:val="FERCparanumber"/>
        <w:numPr>
          <w:ilvl w:val="0"/>
          <w:numId w:val="0"/>
        </w:numPr>
        <w:spacing w:after="0"/>
        <w:ind w:left="1800"/>
        <w:rPr>
          <w:szCs w:val="26"/>
        </w:rPr>
      </w:pPr>
    </w:p>
    <w:p w:rsidR="00297C90" w:rsidRDefault="00FD47D3" w:rsidP="00FD47D3">
      <w:pPr>
        <w:pStyle w:val="FERCparanumber"/>
        <w:numPr>
          <w:ilvl w:val="0"/>
          <w:numId w:val="37"/>
        </w:numPr>
      </w:pPr>
      <w:r>
        <w:t xml:space="preserve">For further information, please review the attachment “Online Resources Governing Rule 602 Settlement Filings.”  </w:t>
      </w:r>
      <w:r w:rsidR="00297C90">
        <w:t xml:space="preserve">If you have further questions, please contact </w:t>
      </w:r>
      <w:r>
        <w:t>Keith Pierce (202-502-8525) or Don</w:t>
      </w:r>
      <w:r w:rsidR="002166AE">
        <w:t>ald</w:t>
      </w:r>
      <w:r>
        <w:t xml:space="preserve"> Gavelek (202-502-8721)</w:t>
      </w:r>
      <w:r w:rsidR="00297C90">
        <w:t>.</w:t>
      </w:r>
    </w:p>
    <w:p w:rsidR="000467A1" w:rsidRDefault="000467A1" w:rsidP="000467A1">
      <w:pPr>
        <w:pStyle w:val="FERCparanumber"/>
        <w:numPr>
          <w:ilvl w:val="0"/>
          <w:numId w:val="0"/>
        </w:numPr>
      </w:pPr>
    </w:p>
    <w:p w:rsidR="000467A1" w:rsidRDefault="000467A1" w:rsidP="000467A1">
      <w:pPr>
        <w:pStyle w:val="FERCparanumber"/>
        <w:numPr>
          <w:ilvl w:val="0"/>
          <w:numId w:val="0"/>
        </w:numPr>
        <w:spacing w:after="0"/>
        <w:ind w:left="4320"/>
      </w:pPr>
      <w:r>
        <w:t>Carmen A. Cintron</w:t>
      </w:r>
    </w:p>
    <w:p w:rsidR="00FD47D3" w:rsidRDefault="00AE4400" w:rsidP="00AE4400">
      <w:pPr>
        <w:pStyle w:val="FERCparanumber"/>
        <w:numPr>
          <w:ilvl w:val="0"/>
          <w:numId w:val="0"/>
        </w:numPr>
        <w:spacing w:after="0"/>
        <w:ind w:left="4320"/>
        <w:sectPr w:rsidR="00FD47D3" w:rsidSect="000D5B58">
          <w:headerReference w:type="even" r:id="rId13"/>
          <w:headerReference w:type="default" r:id="rId14"/>
          <w:headerReference w:type="first" r:id="rId15"/>
          <w:footnotePr>
            <w:numRestart w:val="eachSect"/>
          </w:footnotePr>
          <w:pgSz w:w="12240" w:h="15840"/>
          <w:pgMar w:top="1440" w:right="1440" w:bottom="1440" w:left="1440" w:header="720" w:footer="1440" w:gutter="0"/>
          <w:pgNumType w:fmt="numberInDash"/>
          <w:cols w:space="720"/>
          <w:noEndnote/>
          <w:titlePg/>
          <w:docGrid w:linePitch="354"/>
        </w:sectPr>
      </w:pPr>
      <w:r>
        <w:t>Chief Administrative Law Judge</w:t>
      </w:r>
    </w:p>
    <w:p w:rsidR="00A01236" w:rsidRDefault="00A01236" w:rsidP="00686C42">
      <w:pPr>
        <w:pStyle w:val="FERCparanumber"/>
        <w:numPr>
          <w:ilvl w:val="0"/>
          <w:numId w:val="0"/>
        </w:numPr>
        <w:spacing w:after="0"/>
      </w:pPr>
    </w:p>
    <w:p w:rsidR="00FD47D3" w:rsidRPr="00972164" w:rsidRDefault="00FD47D3" w:rsidP="00972164">
      <w:pPr>
        <w:pStyle w:val="FERCparanumber"/>
        <w:numPr>
          <w:ilvl w:val="0"/>
          <w:numId w:val="0"/>
        </w:numPr>
        <w:spacing w:after="0"/>
        <w:jc w:val="center"/>
        <w:rPr>
          <w:b/>
        </w:rPr>
      </w:pPr>
      <w:r w:rsidRPr="00972164">
        <w:rPr>
          <w:b/>
        </w:rPr>
        <w:t>ATTACHMENT:</w:t>
      </w:r>
    </w:p>
    <w:p w:rsidR="00FD47D3" w:rsidRPr="00972164" w:rsidRDefault="00FD47D3" w:rsidP="00972164">
      <w:pPr>
        <w:pStyle w:val="FERCparanumber"/>
        <w:numPr>
          <w:ilvl w:val="0"/>
          <w:numId w:val="0"/>
        </w:numPr>
        <w:spacing w:after="0"/>
        <w:jc w:val="center"/>
        <w:rPr>
          <w:b/>
        </w:rPr>
      </w:pPr>
      <w:r w:rsidRPr="00972164">
        <w:rPr>
          <w:b/>
        </w:rPr>
        <w:t>ONLINE RESOURCES GOVERNING RULE 602 SETTLEMENT FILINGS</w:t>
      </w:r>
    </w:p>
    <w:p w:rsidR="00FD47D3" w:rsidRDefault="00FD47D3" w:rsidP="00686C42">
      <w:pPr>
        <w:pStyle w:val="FERCparanumber"/>
        <w:numPr>
          <w:ilvl w:val="0"/>
          <w:numId w:val="0"/>
        </w:numPr>
        <w:spacing w:after="0"/>
      </w:pPr>
    </w:p>
    <w:p w:rsidR="00FD47D3" w:rsidRDefault="00FD47D3" w:rsidP="00686C42">
      <w:pPr>
        <w:pStyle w:val="FERCparanumber"/>
        <w:numPr>
          <w:ilvl w:val="0"/>
          <w:numId w:val="0"/>
        </w:numPr>
        <w:spacing w:after="0"/>
      </w:pPr>
    </w:p>
    <w:p w:rsidR="00FD47D3" w:rsidRPr="00036651" w:rsidRDefault="00FD47D3" w:rsidP="00FD47D3">
      <w:pPr>
        <w:pStyle w:val="FERCparanumber"/>
        <w:numPr>
          <w:ilvl w:val="0"/>
          <w:numId w:val="39"/>
        </w:numPr>
        <w:ind w:left="1080"/>
        <w:rPr>
          <w:rStyle w:val="Hyperlink"/>
          <w:color w:val="auto"/>
          <w:szCs w:val="26"/>
          <w:u w:val="none"/>
        </w:rPr>
      </w:pPr>
      <w:r>
        <w:rPr>
          <w:szCs w:val="26"/>
        </w:rPr>
        <w:t>How to eRegister (provides individuals a means of transacting business with the Commission</w:t>
      </w:r>
      <w:r w:rsidRPr="00036651">
        <w:rPr>
          <w:szCs w:val="26"/>
        </w:rPr>
        <w:t xml:space="preserve"> on behalf of themselves or another organization): </w:t>
      </w:r>
      <w:hyperlink r:id="rId16" w:history="1">
        <w:r w:rsidRPr="00036651">
          <w:rPr>
            <w:rStyle w:val="Hyperlink"/>
            <w:szCs w:val="26"/>
          </w:rPr>
          <w:t>http://www.ferc.gov/docs-filing/eregistration.asp</w:t>
        </w:r>
      </w:hyperlink>
    </w:p>
    <w:p w:rsidR="00FD47D3" w:rsidRPr="00036651" w:rsidRDefault="00FD47D3" w:rsidP="00FD47D3">
      <w:pPr>
        <w:pStyle w:val="FERCparanumber"/>
        <w:numPr>
          <w:ilvl w:val="0"/>
          <w:numId w:val="39"/>
        </w:numPr>
        <w:ind w:left="1080"/>
        <w:rPr>
          <w:szCs w:val="26"/>
        </w:rPr>
      </w:pPr>
      <w:r w:rsidRPr="00AE4400">
        <w:rPr>
          <w:szCs w:val="26"/>
        </w:rPr>
        <w:t xml:space="preserve">How </w:t>
      </w:r>
      <w:r>
        <w:rPr>
          <w:szCs w:val="26"/>
        </w:rPr>
        <w:t>to Obtain a Company Identifier (CID)</w:t>
      </w:r>
      <w:r w:rsidRPr="00CA3C20">
        <w:rPr>
          <w:rStyle w:val="FootnoteReference"/>
          <w:szCs w:val="26"/>
        </w:rPr>
        <w:footnoteReference w:id="5"/>
      </w:r>
      <w:r>
        <w:rPr>
          <w:szCs w:val="26"/>
        </w:rPr>
        <w:t xml:space="preserve"> for a Regulated Entity:</w:t>
      </w:r>
      <w:r w:rsidRPr="00036651">
        <w:rPr>
          <w:szCs w:val="26"/>
        </w:rPr>
        <w:t xml:space="preserve"> </w:t>
      </w:r>
      <w:hyperlink r:id="rId17" w:history="1">
        <w:r w:rsidRPr="00036651">
          <w:rPr>
            <w:rStyle w:val="Hyperlink"/>
            <w:szCs w:val="26"/>
          </w:rPr>
          <w:t>http://www.ferc.gov/docs-filing/company-reg.asp</w:t>
        </w:r>
      </w:hyperlink>
      <w:r w:rsidRPr="00036651">
        <w:rPr>
          <w:szCs w:val="26"/>
        </w:rPr>
        <w:t xml:space="preserve"> </w:t>
      </w:r>
    </w:p>
    <w:p w:rsidR="00FD47D3" w:rsidRPr="00036651" w:rsidRDefault="00FD47D3" w:rsidP="00FD47D3">
      <w:pPr>
        <w:pStyle w:val="FERCparanumber"/>
        <w:numPr>
          <w:ilvl w:val="0"/>
          <w:numId w:val="39"/>
        </w:numPr>
        <w:ind w:left="1080"/>
        <w:rPr>
          <w:szCs w:val="26"/>
        </w:rPr>
      </w:pPr>
      <w:r>
        <w:rPr>
          <w:szCs w:val="26"/>
        </w:rPr>
        <w:t xml:space="preserve">List of Acceptable Electronic File Formats for Commission Filings: </w:t>
      </w:r>
      <w:hyperlink r:id="rId18" w:history="1">
        <w:r w:rsidRPr="00036651">
          <w:rPr>
            <w:rStyle w:val="Hyperlink"/>
            <w:szCs w:val="26"/>
          </w:rPr>
          <w:t>http://www.ferc.gov/docs-filing/elibrary/accept-file-formats.asp</w:t>
        </w:r>
      </w:hyperlink>
      <w:r w:rsidRPr="00036651">
        <w:rPr>
          <w:szCs w:val="26"/>
        </w:rPr>
        <w:t xml:space="preserve"> </w:t>
      </w:r>
    </w:p>
    <w:p w:rsidR="00FD47D3" w:rsidRPr="005974E5" w:rsidRDefault="00FD47D3" w:rsidP="00FD47D3">
      <w:pPr>
        <w:pStyle w:val="FERCparanumber"/>
        <w:numPr>
          <w:ilvl w:val="0"/>
          <w:numId w:val="39"/>
        </w:numPr>
        <w:ind w:left="1080"/>
        <w:rPr>
          <w:rStyle w:val="Hyperlink"/>
          <w:color w:val="auto"/>
          <w:szCs w:val="26"/>
          <w:u w:val="none"/>
        </w:rPr>
      </w:pPr>
      <w:r>
        <w:rPr>
          <w:szCs w:val="26"/>
        </w:rPr>
        <w:t>Implementation Guide for Electronic Filing of Parts 35, 154, 284, 300, and 341 Tariff Filings (eTariff XML I</w:t>
      </w:r>
      <w:r w:rsidRPr="00AE4400">
        <w:rPr>
          <w:szCs w:val="26"/>
        </w:rPr>
        <w:t>nstructions</w:t>
      </w:r>
      <w:r>
        <w:rPr>
          <w:szCs w:val="26"/>
        </w:rPr>
        <w:t>)</w:t>
      </w:r>
      <w:r w:rsidRPr="00AE4400">
        <w:rPr>
          <w:szCs w:val="26"/>
        </w:rPr>
        <w:t xml:space="preserve">: </w:t>
      </w:r>
      <w:hyperlink r:id="rId19" w:history="1">
        <w:r w:rsidRPr="00AE4400">
          <w:rPr>
            <w:rStyle w:val="Hyperlink"/>
            <w:szCs w:val="26"/>
          </w:rPr>
          <w:t>http://www.ferc.gov/docs-filing/etariff/implementation-guide.pdf</w:t>
        </w:r>
      </w:hyperlink>
    </w:p>
    <w:p w:rsidR="00FD47D3" w:rsidRDefault="00FD47D3" w:rsidP="00FD47D3">
      <w:pPr>
        <w:pStyle w:val="FERCparanumber"/>
        <w:numPr>
          <w:ilvl w:val="0"/>
          <w:numId w:val="39"/>
        </w:numPr>
        <w:ind w:left="1080"/>
        <w:rPr>
          <w:szCs w:val="26"/>
        </w:rPr>
      </w:pPr>
      <w:r>
        <w:rPr>
          <w:szCs w:val="26"/>
        </w:rPr>
        <w:t>eTariff S</w:t>
      </w:r>
      <w:r w:rsidRPr="00AE4400">
        <w:rPr>
          <w:szCs w:val="26"/>
        </w:rPr>
        <w:t xml:space="preserve">oftware </w:t>
      </w:r>
      <w:r>
        <w:rPr>
          <w:szCs w:val="26"/>
        </w:rPr>
        <w:t>Vendors</w:t>
      </w:r>
      <w:r w:rsidRPr="00AE4400">
        <w:rPr>
          <w:szCs w:val="26"/>
        </w:rPr>
        <w:t>:</w:t>
      </w:r>
      <w:r>
        <w:rPr>
          <w:rStyle w:val="FootnoteReference"/>
          <w:szCs w:val="26"/>
        </w:rPr>
        <w:footnoteReference w:id="6"/>
      </w:r>
      <w:r w:rsidRPr="00AE4400">
        <w:rPr>
          <w:szCs w:val="26"/>
        </w:rPr>
        <w:t xml:space="preserve"> </w:t>
      </w:r>
      <w:hyperlink r:id="rId20" w:history="1">
        <w:r w:rsidRPr="00AE4400">
          <w:rPr>
            <w:rStyle w:val="Hyperlink"/>
            <w:szCs w:val="26"/>
          </w:rPr>
          <w:t>https://naesb.org//etariff_vendors.asp</w:t>
        </w:r>
      </w:hyperlink>
      <w:r w:rsidRPr="00AE4400">
        <w:rPr>
          <w:szCs w:val="26"/>
        </w:rPr>
        <w:t xml:space="preserve"> </w:t>
      </w:r>
    </w:p>
    <w:p w:rsidR="00FD47D3" w:rsidRPr="005974E5" w:rsidRDefault="00FD47D3" w:rsidP="00FD47D3">
      <w:pPr>
        <w:pStyle w:val="FERCparanumber"/>
        <w:numPr>
          <w:ilvl w:val="0"/>
          <w:numId w:val="39"/>
        </w:numPr>
        <w:ind w:left="1080"/>
        <w:rPr>
          <w:szCs w:val="26"/>
        </w:rPr>
      </w:pPr>
      <w:r>
        <w:rPr>
          <w:szCs w:val="26"/>
        </w:rPr>
        <w:t>How-To Guide on eComment, eFiling, eRegister, and eSubscription</w:t>
      </w:r>
      <w:r w:rsidRPr="005974E5">
        <w:rPr>
          <w:szCs w:val="26"/>
        </w:rPr>
        <w:t xml:space="preserve">: </w:t>
      </w:r>
      <w:hyperlink r:id="rId21" w:history="1">
        <w:r w:rsidRPr="005974E5">
          <w:rPr>
            <w:rStyle w:val="Hyperlink"/>
            <w:szCs w:val="26"/>
          </w:rPr>
          <w:t>http://www.ferc.gov/about/infographic-efile.pdf</w:t>
        </w:r>
      </w:hyperlink>
      <w:r w:rsidRPr="005974E5">
        <w:rPr>
          <w:szCs w:val="26"/>
        </w:rPr>
        <w:t xml:space="preserve"> </w:t>
      </w:r>
    </w:p>
    <w:p w:rsidR="00FD47D3" w:rsidRDefault="00FD47D3" w:rsidP="00FD47D3">
      <w:pPr>
        <w:pStyle w:val="FERCparanumber"/>
        <w:numPr>
          <w:ilvl w:val="0"/>
          <w:numId w:val="39"/>
        </w:numPr>
        <w:ind w:left="1080"/>
        <w:rPr>
          <w:szCs w:val="26"/>
        </w:rPr>
      </w:pPr>
      <w:r w:rsidRPr="00AE4400">
        <w:rPr>
          <w:szCs w:val="26"/>
        </w:rPr>
        <w:t>Overv</w:t>
      </w:r>
      <w:r>
        <w:rPr>
          <w:szCs w:val="26"/>
        </w:rPr>
        <w:t>iew of Filing Procedures for Settlements</w:t>
      </w:r>
      <w:r w:rsidRPr="00AE4400">
        <w:rPr>
          <w:szCs w:val="26"/>
        </w:rPr>
        <w:t xml:space="preserve">: </w:t>
      </w:r>
      <w:hyperlink r:id="rId22" w:history="1">
        <w:r w:rsidRPr="00AE4400">
          <w:rPr>
            <w:rStyle w:val="Hyperlink"/>
            <w:szCs w:val="26"/>
          </w:rPr>
          <w:t>http://www.ferc.gov/CalendarFiles/20170215091558-SettlementFilingProcedures.pdf</w:t>
        </w:r>
      </w:hyperlink>
      <w:r w:rsidRPr="00AE4400">
        <w:rPr>
          <w:szCs w:val="26"/>
        </w:rPr>
        <w:t xml:space="preserve"> </w:t>
      </w:r>
    </w:p>
    <w:p w:rsidR="00FD47D3" w:rsidRPr="00FD47D3" w:rsidRDefault="00FD47D3" w:rsidP="00972164">
      <w:pPr>
        <w:pStyle w:val="FERCparanumber"/>
        <w:numPr>
          <w:ilvl w:val="0"/>
          <w:numId w:val="39"/>
        </w:numPr>
        <w:ind w:left="1080"/>
        <w:rPr>
          <w:szCs w:val="26"/>
        </w:rPr>
      </w:pPr>
      <w:r w:rsidRPr="00FD47D3">
        <w:rPr>
          <w:szCs w:val="26"/>
        </w:rPr>
        <w:t xml:space="preserve">eTariff General Information: </w:t>
      </w:r>
      <w:hyperlink r:id="rId23" w:history="1">
        <w:r w:rsidRPr="00FD47D3">
          <w:rPr>
            <w:rStyle w:val="Hyperlink"/>
            <w:szCs w:val="26"/>
          </w:rPr>
          <w:t>http://www.ferc.gov/docs-filing/etariff.asp</w:t>
        </w:r>
      </w:hyperlink>
    </w:p>
    <w:sectPr w:rsidR="00FD47D3" w:rsidRPr="00FD47D3" w:rsidSect="000467A1">
      <w:footnotePr>
        <w:numRestart w:val="eachSect"/>
      </w:footnotePr>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4D" w:rsidRDefault="00D1704D">
      <w:r>
        <w:separator/>
      </w:r>
    </w:p>
  </w:endnote>
  <w:endnote w:type="continuationSeparator" w:id="0">
    <w:p w:rsidR="00D1704D" w:rsidRDefault="00D1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4D" w:rsidRDefault="00D1704D">
      <w:r>
        <w:separator/>
      </w:r>
    </w:p>
  </w:footnote>
  <w:footnote w:type="continuationSeparator" w:id="0">
    <w:p w:rsidR="00D1704D" w:rsidRDefault="00D1704D">
      <w:r>
        <w:continuationSeparator/>
      </w:r>
    </w:p>
  </w:footnote>
  <w:footnote w:type="continuationNotice" w:id="1">
    <w:p w:rsidR="00D1704D" w:rsidRPr="009E2C52" w:rsidRDefault="00D1704D" w:rsidP="009E2C52">
      <w:pPr>
        <w:pStyle w:val="Footer"/>
      </w:pPr>
      <w:r w:rsidRPr="009E2C52">
        <w:rPr>
          <w:i/>
        </w:rPr>
        <w:t>(continued ...)</w:t>
      </w:r>
    </w:p>
  </w:footnote>
  <w:footnote w:id="2">
    <w:p w:rsidR="00D96FEC" w:rsidRDefault="00D96FEC" w:rsidP="00D96FEC">
      <w:pPr>
        <w:pStyle w:val="FootnoteText"/>
      </w:pPr>
      <w:r>
        <w:rPr>
          <w:rStyle w:val="FootnoteReference"/>
        </w:rPr>
        <w:footnoteRef/>
      </w:r>
      <w:r>
        <w:t xml:space="preserve"> Rule 602 “applies to written offers of settlement filed in any proceeding pending before the Commission or set for hearing . . . .” 18 C.F.R. § 385.602 (2017).</w:t>
      </w:r>
    </w:p>
  </w:footnote>
  <w:footnote w:id="3">
    <w:p w:rsidR="00AE6441" w:rsidRDefault="00AE6441">
      <w:pPr>
        <w:pStyle w:val="FootnoteText"/>
      </w:pPr>
      <w:r>
        <w:rPr>
          <w:rStyle w:val="FootnoteReference"/>
        </w:rPr>
        <w:footnoteRef/>
      </w:r>
      <w:r>
        <w:t xml:space="preserve"> </w:t>
      </w:r>
      <w:r w:rsidRPr="00AE6441">
        <w:rPr>
          <w:i/>
        </w:rPr>
        <w:t>Notice of Additional eTariff Type of Filing Codes</w:t>
      </w:r>
      <w:r>
        <w:t xml:space="preserve"> (Dec. 1, 2016).</w:t>
      </w:r>
    </w:p>
  </w:footnote>
  <w:footnote w:id="4">
    <w:p w:rsidR="005D3B62" w:rsidRDefault="005D3B62">
      <w:pPr>
        <w:pStyle w:val="FootnoteText"/>
      </w:pPr>
      <w:r>
        <w:rPr>
          <w:rStyle w:val="FootnoteReference"/>
        </w:rPr>
        <w:footnoteRef/>
      </w:r>
      <w:r>
        <w:t xml:space="preserve"> This filing can be as short as one sentence and make a statement such as: “To ensure a complete record in [Related Docket No.], [Filing Party]</w:t>
      </w:r>
      <w:r w:rsidR="0038696F">
        <w:t xml:space="preserve"> reports </w:t>
      </w:r>
      <w:r>
        <w:t xml:space="preserve">that it filed an offer of settlement </w:t>
      </w:r>
      <w:r w:rsidR="001D00FC">
        <w:t>which was assigned a new docket number [</w:t>
      </w:r>
      <w:r w:rsidR="00465734">
        <w:t>Settlement Docket No.]</w:t>
      </w:r>
      <w:r w:rsidR="001D00FC">
        <w:t>, with</w:t>
      </w:r>
      <w:r w:rsidR="007F566C">
        <w:t xml:space="preserve"> eLibrary accession number [Number]</w:t>
      </w:r>
      <w:r w:rsidR="00465734">
        <w:t>.”</w:t>
      </w:r>
    </w:p>
  </w:footnote>
  <w:footnote w:id="5">
    <w:p w:rsidR="00FD47D3" w:rsidRPr="00297C90" w:rsidRDefault="00FD47D3" w:rsidP="00FD47D3">
      <w:pPr>
        <w:pStyle w:val="FootnoteText"/>
        <w:rPr>
          <w:szCs w:val="26"/>
        </w:rPr>
      </w:pPr>
      <w:r>
        <w:rPr>
          <w:rStyle w:val="FootnoteReference"/>
        </w:rPr>
        <w:footnoteRef/>
      </w:r>
      <w:r>
        <w:t xml:space="preserve"> </w:t>
      </w:r>
      <w:r w:rsidRPr="003347BD">
        <w:rPr>
          <w:szCs w:val="26"/>
        </w:rPr>
        <w:t>If you are unsure whether the regulated entity already has a CID, review the Commission’s listing of CID’s</w:t>
      </w:r>
      <w:r>
        <w:rPr>
          <w:szCs w:val="26"/>
        </w:rPr>
        <w:t xml:space="preserve"> by industry</w:t>
      </w:r>
      <w:r w:rsidRPr="003347BD">
        <w:rPr>
          <w:szCs w:val="26"/>
        </w:rPr>
        <w:t xml:space="preserve"> at</w:t>
      </w:r>
      <w:r>
        <w:rPr>
          <w:szCs w:val="26"/>
        </w:rPr>
        <w:t xml:space="preserve"> </w:t>
      </w:r>
      <w:hyperlink r:id="rId1" w:history="1">
        <w:r w:rsidRPr="003347BD">
          <w:rPr>
            <w:rStyle w:val="Hyperlink"/>
            <w:szCs w:val="26"/>
          </w:rPr>
          <w:t>http://www.ferc.gov/industries/industries.asp</w:t>
        </w:r>
      </w:hyperlink>
      <w:r>
        <w:rPr>
          <w:szCs w:val="26"/>
        </w:rPr>
        <w:t xml:space="preserve">.  </w:t>
      </w:r>
      <w:r w:rsidRPr="003347BD">
        <w:rPr>
          <w:szCs w:val="26"/>
        </w:rPr>
        <w:t>Do not apply for duplicative CIDs, as that may lead to serious and unpredi</w:t>
      </w:r>
      <w:r>
        <w:rPr>
          <w:szCs w:val="26"/>
        </w:rPr>
        <w:t>ctable regulatory consequences.</w:t>
      </w:r>
    </w:p>
  </w:footnote>
  <w:footnote w:id="6">
    <w:p w:rsidR="00FD47D3" w:rsidRDefault="00FD47D3" w:rsidP="00FD47D3">
      <w:pPr>
        <w:pStyle w:val="FootnoteText"/>
      </w:pPr>
      <w:r>
        <w:rPr>
          <w:rStyle w:val="FootnoteReference"/>
        </w:rPr>
        <w:footnoteRef/>
      </w:r>
      <w:r>
        <w:t xml:space="preserve"> </w:t>
      </w:r>
      <w:r>
        <w:rPr>
          <w:rFonts w:eastAsiaTheme="minorHAnsi"/>
          <w:szCs w:val="26"/>
        </w:rPr>
        <w:t>N</w:t>
      </w:r>
      <w:r w:rsidRPr="00AE4400">
        <w:rPr>
          <w:rFonts w:eastAsiaTheme="minorHAnsi"/>
          <w:szCs w:val="26"/>
        </w:rPr>
        <w:t>either the Commission nor</w:t>
      </w:r>
      <w:r>
        <w:rPr>
          <w:rFonts w:eastAsiaTheme="minorHAnsi"/>
          <w:szCs w:val="26"/>
        </w:rPr>
        <w:t xml:space="preserve"> the North American Energy Standards Board</w:t>
      </w:r>
      <w:r w:rsidRPr="00AE4400">
        <w:rPr>
          <w:rFonts w:eastAsiaTheme="minorHAnsi"/>
          <w:szCs w:val="26"/>
        </w:rPr>
        <w:t xml:space="preserve"> </w:t>
      </w:r>
      <w:r>
        <w:rPr>
          <w:rFonts w:eastAsiaTheme="minorHAnsi"/>
          <w:szCs w:val="26"/>
        </w:rPr>
        <w:t>(</w:t>
      </w:r>
      <w:r w:rsidRPr="00AE4400">
        <w:rPr>
          <w:rFonts w:eastAsiaTheme="minorHAnsi"/>
          <w:szCs w:val="26"/>
        </w:rPr>
        <w:t>NAESB</w:t>
      </w:r>
      <w:r>
        <w:rPr>
          <w:rFonts w:eastAsiaTheme="minorHAnsi"/>
          <w:szCs w:val="26"/>
        </w:rPr>
        <w:t>)</w:t>
      </w:r>
      <w:r w:rsidRPr="00AE4400">
        <w:rPr>
          <w:rFonts w:eastAsiaTheme="minorHAnsi"/>
          <w:szCs w:val="26"/>
        </w:rPr>
        <w:t xml:space="preserve"> test or endorse any specific eTariff XML packaging software product</w:t>
      </w:r>
      <w:r>
        <w:rPr>
          <w:rFonts w:eastAsiaTheme="minorHAnsi"/>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24" w:rsidRDefault="00037624">
    <w:pPr>
      <w:pStyle w:val="Header"/>
    </w:pPr>
  </w:p>
  <w:p w:rsidR="007616CD" w:rsidRDefault="007616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057814"/>
      <w:docPartObj>
        <w:docPartGallery w:val="Page Numbers (Top of Page)"/>
        <w:docPartUnique/>
      </w:docPartObj>
    </w:sdtPr>
    <w:sdtEndPr>
      <w:rPr>
        <w:noProof/>
      </w:rPr>
    </w:sdtEndPr>
    <w:sdtContent>
      <w:p w:rsidR="000D5B58" w:rsidRDefault="000D5B58" w:rsidP="000D5B58">
        <w:pPr>
          <w:pStyle w:val="Header"/>
        </w:pPr>
        <w:r>
          <w:t xml:space="preserve">                                                                                                                                </w:t>
        </w:r>
        <w:r>
          <w:fldChar w:fldCharType="begin"/>
        </w:r>
        <w:r>
          <w:instrText xml:space="preserve"> PAGE   \* MERGEFORMAT </w:instrText>
        </w:r>
        <w:r>
          <w:fldChar w:fldCharType="separate"/>
        </w:r>
        <w:r w:rsidR="008D1631">
          <w:rPr>
            <w:noProof/>
          </w:rPr>
          <w:t>- 2 -</w:t>
        </w:r>
        <w:r>
          <w:rPr>
            <w:noProof/>
          </w:rPr>
          <w:fldChar w:fldCharType="end"/>
        </w:r>
      </w:p>
    </w:sdtContent>
  </w:sdt>
  <w:p w:rsidR="007616CD" w:rsidRDefault="007616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B58" w:rsidRDefault="000D5B58" w:rsidP="000D5B58">
    <w:pPr>
      <w:pStyle w:val="Header"/>
    </w:pPr>
  </w:p>
  <w:p w:rsidR="000D5B58" w:rsidRDefault="000D5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12D12051"/>
    <w:multiLevelType w:val="hybridMultilevel"/>
    <w:tmpl w:val="F22E66E4"/>
    <w:lvl w:ilvl="0" w:tplc="12BE8A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B3D0C"/>
    <w:multiLevelType w:val="multilevel"/>
    <w:tmpl w:val="0F626B0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3" w15:restartNumberingAfterBreak="0">
    <w:nsid w:val="1DDA5B1F"/>
    <w:multiLevelType w:val="multilevel"/>
    <w:tmpl w:val="1B52617E"/>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4"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15:restartNumberingAfterBreak="0">
    <w:nsid w:val="24EE655A"/>
    <w:multiLevelType w:val="hybridMultilevel"/>
    <w:tmpl w:val="972620EE"/>
    <w:lvl w:ilvl="0" w:tplc="D3ECA88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55D2B"/>
    <w:multiLevelType w:val="multilevel"/>
    <w:tmpl w:val="EDD4782A"/>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7" w15:restartNumberingAfterBreak="0">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202536"/>
    <w:multiLevelType w:val="multilevel"/>
    <w:tmpl w:val="7C647CE6"/>
    <w:lvl w:ilvl="0">
      <w:start w:val="1"/>
      <w:numFmt w:val="upperRoman"/>
      <w:lvlRestart w:val="0"/>
      <w:lvlText w:val="%1."/>
      <w:lvlJc w:val="left"/>
      <w:pPr>
        <w:tabs>
          <w:tab w:val="num" w:pos="720"/>
        </w:tabs>
        <w:ind w:left="792" w:hanging="792"/>
      </w:pPr>
    </w:lvl>
    <w:lvl w:ilvl="1">
      <w:start w:val="1"/>
      <w:numFmt w:val="upperLetter"/>
      <w:lvlText w:val="%2."/>
      <w:lvlJc w:val="left"/>
      <w:pPr>
        <w:tabs>
          <w:tab w:val="num" w:pos="1008"/>
        </w:tabs>
        <w:ind w:left="1152" w:hanging="792"/>
      </w:pPr>
    </w:lvl>
    <w:lvl w:ilvl="2">
      <w:start w:val="1"/>
      <w:numFmt w:val="decimal"/>
      <w:lvlText w:val="%3."/>
      <w:lvlJc w:val="left"/>
      <w:pPr>
        <w:tabs>
          <w:tab w:val="num" w:pos="1296"/>
        </w:tabs>
        <w:ind w:left="1512" w:hanging="792"/>
      </w:pPr>
    </w:lvl>
    <w:lvl w:ilvl="3">
      <w:start w:val="1"/>
      <w:numFmt w:val="lowerLetter"/>
      <w:lvlText w:val="%4."/>
      <w:lvlJc w:val="left"/>
      <w:pPr>
        <w:tabs>
          <w:tab w:val="num" w:pos="1584"/>
        </w:tabs>
        <w:ind w:left="1872" w:hanging="792"/>
      </w:pPr>
    </w:lvl>
    <w:lvl w:ilvl="4">
      <w:start w:val="1"/>
      <w:numFmt w:val="lowerRoman"/>
      <w:lvlText w:val="%5."/>
      <w:lvlJc w:val="left"/>
      <w:pPr>
        <w:tabs>
          <w:tab w:val="num" w:pos="1872"/>
        </w:tabs>
        <w:ind w:left="2232" w:hanging="792"/>
      </w:pPr>
    </w:lvl>
    <w:lvl w:ilvl="5">
      <w:start w:val="1"/>
      <w:numFmt w:val="lowerLetter"/>
      <w:lvlText w:val="(%6)"/>
      <w:lvlJc w:val="left"/>
      <w:pPr>
        <w:tabs>
          <w:tab w:val="num" w:pos="2160"/>
        </w:tabs>
        <w:ind w:left="2592" w:hanging="792"/>
      </w:pPr>
    </w:lvl>
    <w:lvl w:ilvl="6">
      <w:start w:val="1"/>
      <w:numFmt w:val="decimal"/>
      <w:lvlText w:val="(%7)"/>
      <w:lvlJc w:val="left"/>
      <w:pPr>
        <w:tabs>
          <w:tab w:val="num" w:pos="2448"/>
        </w:tabs>
        <w:ind w:left="2952" w:hanging="792"/>
      </w:pPr>
    </w:lvl>
    <w:lvl w:ilvl="7">
      <w:start w:val="1"/>
      <w:numFmt w:val="lowerRoman"/>
      <w:lvlText w:val="(%8)"/>
      <w:lvlJc w:val="left"/>
      <w:pPr>
        <w:tabs>
          <w:tab w:val="num" w:pos="2736"/>
        </w:tabs>
        <w:ind w:left="3312" w:hanging="792"/>
      </w:pPr>
    </w:lvl>
    <w:lvl w:ilvl="8">
      <w:start w:val="1"/>
      <w:numFmt w:val="decimalZero"/>
      <w:lvlText w:val="(%9)"/>
      <w:lvlJc w:val="left"/>
      <w:pPr>
        <w:tabs>
          <w:tab w:val="num" w:pos="3024"/>
        </w:tabs>
        <w:ind w:left="3672" w:hanging="792"/>
      </w:pPr>
    </w:lvl>
  </w:abstractNum>
  <w:abstractNum w:abstractNumId="20" w15:restartNumberingAfterBreak="0">
    <w:nsid w:val="488F62B2"/>
    <w:multiLevelType w:val="multilevel"/>
    <w:tmpl w:val="A328CDE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AA3180"/>
    <w:multiLevelType w:val="hybridMultilevel"/>
    <w:tmpl w:val="1FFC76DE"/>
    <w:lvl w:ilvl="0" w:tplc="B4827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2260D9"/>
    <w:multiLevelType w:val="hybridMultilevel"/>
    <w:tmpl w:val="495A65E0"/>
    <w:lvl w:ilvl="0" w:tplc="169E2E7C">
      <w:numFmt w:val="bullet"/>
      <w:lvlText w:val=""/>
      <w:lvlJc w:val="left"/>
      <w:pPr>
        <w:ind w:left="360" w:hanging="360"/>
      </w:pPr>
      <w:rPr>
        <w:rFonts w:ascii="Wingdings" w:eastAsia="Times New Roman" w:hAnsi="Wingdings" w:cs="Times New Roman" w:hint="default"/>
      </w:rPr>
    </w:lvl>
    <w:lvl w:ilvl="1" w:tplc="8FE2597E">
      <w:start w:val="1"/>
      <w:numFmt w:val="bullet"/>
      <w:lvlText w:val="o"/>
      <w:lvlJc w:val="left"/>
      <w:pPr>
        <w:ind w:left="720" w:hanging="360"/>
      </w:pPr>
      <w:rPr>
        <w:rFonts w:ascii="Courier New" w:hAnsi="Courier New" w:hint="default"/>
      </w:rPr>
    </w:lvl>
    <w:lvl w:ilvl="2" w:tplc="AF04D4E8">
      <w:start w:val="1"/>
      <w:numFmt w:val="bullet"/>
      <w:lvlText w:val=""/>
      <w:lvlJc w:val="left"/>
      <w:pPr>
        <w:ind w:left="936" w:hanging="216"/>
      </w:pPr>
      <w:rPr>
        <w:rFonts w:ascii="Wingdings" w:hAnsi="Wingdings" w:hint="default"/>
      </w:rPr>
    </w:lvl>
    <w:lvl w:ilvl="3" w:tplc="E86E44E4">
      <w:start w:val="1"/>
      <w:numFmt w:val="bullet"/>
      <w:lvlText w:val=""/>
      <w:lvlJc w:val="left"/>
      <w:pPr>
        <w:ind w:left="144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03136"/>
    <w:multiLevelType w:val="hybridMultilevel"/>
    <w:tmpl w:val="6E201A7A"/>
    <w:lvl w:ilvl="0" w:tplc="DF94E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724CB"/>
    <w:multiLevelType w:val="hybridMultilevel"/>
    <w:tmpl w:val="9FBA4B32"/>
    <w:lvl w:ilvl="0" w:tplc="ACB676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B09D3"/>
    <w:multiLevelType w:val="hybridMultilevel"/>
    <w:tmpl w:val="26282D1A"/>
    <w:lvl w:ilvl="0" w:tplc="4560049A">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E4DD3"/>
    <w:multiLevelType w:val="hybridMultilevel"/>
    <w:tmpl w:val="50CAE678"/>
    <w:lvl w:ilvl="0" w:tplc="D4323D4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23"/>
  </w:num>
  <w:num w:numId="4">
    <w:abstractNumId w:val="17"/>
  </w:num>
  <w:num w:numId="5">
    <w:abstractNumId w:val="29"/>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24"/>
  </w:num>
  <w:num w:numId="27">
    <w:abstractNumId w:val="14"/>
  </w:num>
  <w:num w:numId="28">
    <w:abstractNumId w:val="19"/>
  </w:num>
  <w:num w:numId="29">
    <w:abstractNumId w:val="16"/>
  </w:num>
  <w:num w:numId="30">
    <w:abstractNumId w:val="12"/>
  </w:num>
  <w:num w:numId="31">
    <w:abstractNumId w:val="20"/>
  </w:num>
  <w:num w:numId="32">
    <w:abstractNumId w:val="13"/>
  </w:num>
  <w:num w:numId="33">
    <w:abstractNumId w:val="27"/>
  </w:num>
  <w:num w:numId="34">
    <w:abstractNumId w:val="22"/>
  </w:num>
  <w:num w:numId="35">
    <w:abstractNumId w:val="26"/>
  </w:num>
  <w:num w:numId="36">
    <w:abstractNumId w:val="11"/>
  </w:num>
  <w:num w:numId="37">
    <w:abstractNumId w:val="28"/>
  </w:num>
  <w:num w:numId="38">
    <w:abstractNumId w:val="28"/>
  </w:num>
  <w:num w:numId="39">
    <w:abstractNumId w:val="15"/>
  </w:num>
  <w:num w:numId="40">
    <w:abstractNumId w:val="2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C1MDQxsjSwNLUwNjZT0lEKTi0uzszPAykwNKkFAFOw6l8tAAAA"/>
  </w:docVars>
  <w:rsids>
    <w:rsidRoot w:val="000467A1"/>
    <w:rsid w:val="00003B3F"/>
    <w:rsid w:val="000060FC"/>
    <w:rsid w:val="00006E79"/>
    <w:rsid w:val="00007013"/>
    <w:rsid w:val="00010917"/>
    <w:rsid w:val="0001111E"/>
    <w:rsid w:val="00015BA4"/>
    <w:rsid w:val="00017BC9"/>
    <w:rsid w:val="00020927"/>
    <w:rsid w:val="0002233B"/>
    <w:rsid w:val="000306AF"/>
    <w:rsid w:val="00033A3C"/>
    <w:rsid w:val="00034F57"/>
    <w:rsid w:val="000354F3"/>
    <w:rsid w:val="00036021"/>
    <w:rsid w:val="00036651"/>
    <w:rsid w:val="00037624"/>
    <w:rsid w:val="00042449"/>
    <w:rsid w:val="00042BCC"/>
    <w:rsid w:val="00044589"/>
    <w:rsid w:val="00044C47"/>
    <w:rsid w:val="000467A1"/>
    <w:rsid w:val="00050A2B"/>
    <w:rsid w:val="0005260D"/>
    <w:rsid w:val="0005406C"/>
    <w:rsid w:val="00055B09"/>
    <w:rsid w:val="00060AEC"/>
    <w:rsid w:val="0006195F"/>
    <w:rsid w:val="00061F05"/>
    <w:rsid w:val="000630E3"/>
    <w:rsid w:val="00063363"/>
    <w:rsid w:val="00064D88"/>
    <w:rsid w:val="00064E82"/>
    <w:rsid w:val="0006768F"/>
    <w:rsid w:val="00091D90"/>
    <w:rsid w:val="00094059"/>
    <w:rsid w:val="000964CE"/>
    <w:rsid w:val="000973D0"/>
    <w:rsid w:val="000A500F"/>
    <w:rsid w:val="000A6528"/>
    <w:rsid w:val="000A708F"/>
    <w:rsid w:val="000A7674"/>
    <w:rsid w:val="000B32DC"/>
    <w:rsid w:val="000B3933"/>
    <w:rsid w:val="000B5132"/>
    <w:rsid w:val="000B5FB2"/>
    <w:rsid w:val="000C159C"/>
    <w:rsid w:val="000C3615"/>
    <w:rsid w:val="000C4779"/>
    <w:rsid w:val="000C6CFB"/>
    <w:rsid w:val="000D376F"/>
    <w:rsid w:val="000D5B58"/>
    <w:rsid w:val="000D6533"/>
    <w:rsid w:val="000D709F"/>
    <w:rsid w:val="000E019F"/>
    <w:rsid w:val="000E0D77"/>
    <w:rsid w:val="000E314D"/>
    <w:rsid w:val="000E34EE"/>
    <w:rsid w:val="000E5DA1"/>
    <w:rsid w:val="000E6E42"/>
    <w:rsid w:val="000E733C"/>
    <w:rsid w:val="000F114C"/>
    <w:rsid w:val="000F1A65"/>
    <w:rsid w:val="000F40DE"/>
    <w:rsid w:val="000F64B6"/>
    <w:rsid w:val="001010D1"/>
    <w:rsid w:val="00101744"/>
    <w:rsid w:val="00103AE2"/>
    <w:rsid w:val="00107D5A"/>
    <w:rsid w:val="0011005F"/>
    <w:rsid w:val="001128A5"/>
    <w:rsid w:val="001133DD"/>
    <w:rsid w:val="0011539B"/>
    <w:rsid w:val="0011549F"/>
    <w:rsid w:val="0011560A"/>
    <w:rsid w:val="001174A2"/>
    <w:rsid w:val="00120778"/>
    <w:rsid w:val="00122EF4"/>
    <w:rsid w:val="001278B8"/>
    <w:rsid w:val="00127B80"/>
    <w:rsid w:val="00130484"/>
    <w:rsid w:val="0013289A"/>
    <w:rsid w:val="00132EB8"/>
    <w:rsid w:val="00135393"/>
    <w:rsid w:val="0014077F"/>
    <w:rsid w:val="0014170E"/>
    <w:rsid w:val="00144766"/>
    <w:rsid w:val="001450B0"/>
    <w:rsid w:val="00145BF3"/>
    <w:rsid w:val="001460E5"/>
    <w:rsid w:val="00146A35"/>
    <w:rsid w:val="00147246"/>
    <w:rsid w:val="001541A7"/>
    <w:rsid w:val="0015507A"/>
    <w:rsid w:val="00155DB7"/>
    <w:rsid w:val="001619AF"/>
    <w:rsid w:val="00162576"/>
    <w:rsid w:val="00162C83"/>
    <w:rsid w:val="001650BD"/>
    <w:rsid w:val="001701EA"/>
    <w:rsid w:val="001722E3"/>
    <w:rsid w:val="00173678"/>
    <w:rsid w:val="00176FE3"/>
    <w:rsid w:val="00177390"/>
    <w:rsid w:val="00177D0A"/>
    <w:rsid w:val="00183FD6"/>
    <w:rsid w:val="001853F5"/>
    <w:rsid w:val="0018593D"/>
    <w:rsid w:val="00191145"/>
    <w:rsid w:val="001946CD"/>
    <w:rsid w:val="00196908"/>
    <w:rsid w:val="0019719C"/>
    <w:rsid w:val="001A12DE"/>
    <w:rsid w:val="001A3237"/>
    <w:rsid w:val="001A4C5E"/>
    <w:rsid w:val="001A509E"/>
    <w:rsid w:val="001A5D72"/>
    <w:rsid w:val="001A68C8"/>
    <w:rsid w:val="001B11A6"/>
    <w:rsid w:val="001B3928"/>
    <w:rsid w:val="001B4D9E"/>
    <w:rsid w:val="001C04AA"/>
    <w:rsid w:val="001C139A"/>
    <w:rsid w:val="001C17A3"/>
    <w:rsid w:val="001C238C"/>
    <w:rsid w:val="001C2ADC"/>
    <w:rsid w:val="001C5E36"/>
    <w:rsid w:val="001C636D"/>
    <w:rsid w:val="001D00FC"/>
    <w:rsid w:val="001D0604"/>
    <w:rsid w:val="001D089C"/>
    <w:rsid w:val="001D294D"/>
    <w:rsid w:val="001D3568"/>
    <w:rsid w:val="001D6113"/>
    <w:rsid w:val="001D75C1"/>
    <w:rsid w:val="001D7F9B"/>
    <w:rsid w:val="001E0830"/>
    <w:rsid w:val="001E1B1A"/>
    <w:rsid w:val="001E21EE"/>
    <w:rsid w:val="001E2D62"/>
    <w:rsid w:val="001E4A71"/>
    <w:rsid w:val="001F2EEF"/>
    <w:rsid w:val="001F3934"/>
    <w:rsid w:val="001F5E33"/>
    <w:rsid w:val="001F7FC3"/>
    <w:rsid w:val="00200B82"/>
    <w:rsid w:val="00202422"/>
    <w:rsid w:val="00204512"/>
    <w:rsid w:val="00206D7D"/>
    <w:rsid w:val="002106AD"/>
    <w:rsid w:val="00214C9E"/>
    <w:rsid w:val="00215AC5"/>
    <w:rsid w:val="00215DA9"/>
    <w:rsid w:val="002166AE"/>
    <w:rsid w:val="002246EF"/>
    <w:rsid w:val="002249CA"/>
    <w:rsid w:val="00224E07"/>
    <w:rsid w:val="002306D9"/>
    <w:rsid w:val="0023489A"/>
    <w:rsid w:val="002375ED"/>
    <w:rsid w:val="00240066"/>
    <w:rsid w:val="002409A1"/>
    <w:rsid w:val="0024169F"/>
    <w:rsid w:val="002426C3"/>
    <w:rsid w:val="0024305C"/>
    <w:rsid w:val="00243A8E"/>
    <w:rsid w:val="00244F11"/>
    <w:rsid w:val="00246F71"/>
    <w:rsid w:val="00252420"/>
    <w:rsid w:val="00252506"/>
    <w:rsid w:val="0025400C"/>
    <w:rsid w:val="002553AC"/>
    <w:rsid w:val="00255663"/>
    <w:rsid w:val="0025783E"/>
    <w:rsid w:val="0026424F"/>
    <w:rsid w:val="00264564"/>
    <w:rsid w:val="00266808"/>
    <w:rsid w:val="002747B3"/>
    <w:rsid w:val="002756B8"/>
    <w:rsid w:val="00277D1A"/>
    <w:rsid w:val="00280451"/>
    <w:rsid w:val="0028132C"/>
    <w:rsid w:val="00281B3C"/>
    <w:rsid w:val="002828F2"/>
    <w:rsid w:val="00282B1D"/>
    <w:rsid w:val="00282D15"/>
    <w:rsid w:val="002852E3"/>
    <w:rsid w:val="0028697E"/>
    <w:rsid w:val="002875D8"/>
    <w:rsid w:val="00291716"/>
    <w:rsid w:val="00295309"/>
    <w:rsid w:val="002959F3"/>
    <w:rsid w:val="00297C90"/>
    <w:rsid w:val="002A0BA7"/>
    <w:rsid w:val="002A5520"/>
    <w:rsid w:val="002A7865"/>
    <w:rsid w:val="002B0506"/>
    <w:rsid w:val="002B0C7A"/>
    <w:rsid w:val="002B2D52"/>
    <w:rsid w:val="002B3C54"/>
    <w:rsid w:val="002B6530"/>
    <w:rsid w:val="002B7D27"/>
    <w:rsid w:val="002C0DAE"/>
    <w:rsid w:val="002C13A8"/>
    <w:rsid w:val="002C1C5D"/>
    <w:rsid w:val="002C3700"/>
    <w:rsid w:val="002C4EF3"/>
    <w:rsid w:val="002C566E"/>
    <w:rsid w:val="002D0532"/>
    <w:rsid w:val="002D1319"/>
    <w:rsid w:val="002D1796"/>
    <w:rsid w:val="002D52AE"/>
    <w:rsid w:val="002D7D08"/>
    <w:rsid w:val="002E1E26"/>
    <w:rsid w:val="002E4290"/>
    <w:rsid w:val="002E6453"/>
    <w:rsid w:val="002E6C23"/>
    <w:rsid w:val="002E7495"/>
    <w:rsid w:val="002E770C"/>
    <w:rsid w:val="002E7C77"/>
    <w:rsid w:val="002F2972"/>
    <w:rsid w:val="002F2C6F"/>
    <w:rsid w:val="002F469D"/>
    <w:rsid w:val="002F59AF"/>
    <w:rsid w:val="00301152"/>
    <w:rsid w:val="003023C7"/>
    <w:rsid w:val="00302619"/>
    <w:rsid w:val="00303ECA"/>
    <w:rsid w:val="0030424D"/>
    <w:rsid w:val="00306E0F"/>
    <w:rsid w:val="00311B1B"/>
    <w:rsid w:val="0031611A"/>
    <w:rsid w:val="00316C04"/>
    <w:rsid w:val="00320784"/>
    <w:rsid w:val="003303B3"/>
    <w:rsid w:val="0033292D"/>
    <w:rsid w:val="003347BD"/>
    <w:rsid w:val="003350BC"/>
    <w:rsid w:val="0033571D"/>
    <w:rsid w:val="0034397E"/>
    <w:rsid w:val="00350924"/>
    <w:rsid w:val="00352C04"/>
    <w:rsid w:val="0035446A"/>
    <w:rsid w:val="00354CA4"/>
    <w:rsid w:val="00356443"/>
    <w:rsid w:val="00356C4A"/>
    <w:rsid w:val="00356DE0"/>
    <w:rsid w:val="003616F2"/>
    <w:rsid w:val="003618AE"/>
    <w:rsid w:val="0036385A"/>
    <w:rsid w:val="00363B12"/>
    <w:rsid w:val="003720E6"/>
    <w:rsid w:val="003734FE"/>
    <w:rsid w:val="00380088"/>
    <w:rsid w:val="00380575"/>
    <w:rsid w:val="00381F65"/>
    <w:rsid w:val="00382564"/>
    <w:rsid w:val="00385471"/>
    <w:rsid w:val="00385528"/>
    <w:rsid w:val="0038696F"/>
    <w:rsid w:val="00386BAB"/>
    <w:rsid w:val="00387B47"/>
    <w:rsid w:val="00387FB2"/>
    <w:rsid w:val="00395734"/>
    <w:rsid w:val="0039586A"/>
    <w:rsid w:val="00395E13"/>
    <w:rsid w:val="00396200"/>
    <w:rsid w:val="003A16CB"/>
    <w:rsid w:val="003A1859"/>
    <w:rsid w:val="003A1A81"/>
    <w:rsid w:val="003A21F0"/>
    <w:rsid w:val="003A3A1A"/>
    <w:rsid w:val="003A7663"/>
    <w:rsid w:val="003B0BF6"/>
    <w:rsid w:val="003B624D"/>
    <w:rsid w:val="003B6D6F"/>
    <w:rsid w:val="003B708B"/>
    <w:rsid w:val="003C04A0"/>
    <w:rsid w:val="003C31A8"/>
    <w:rsid w:val="003C6481"/>
    <w:rsid w:val="003D3C82"/>
    <w:rsid w:val="003D3EF2"/>
    <w:rsid w:val="003E36DD"/>
    <w:rsid w:val="003E36EB"/>
    <w:rsid w:val="003E5C8D"/>
    <w:rsid w:val="003E676E"/>
    <w:rsid w:val="003F011D"/>
    <w:rsid w:val="003F0247"/>
    <w:rsid w:val="003F54F3"/>
    <w:rsid w:val="003F590E"/>
    <w:rsid w:val="003F6EDE"/>
    <w:rsid w:val="004015D9"/>
    <w:rsid w:val="0040233E"/>
    <w:rsid w:val="00410457"/>
    <w:rsid w:val="00416D9A"/>
    <w:rsid w:val="004210A2"/>
    <w:rsid w:val="00423354"/>
    <w:rsid w:val="004262B5"/>
    <w:rsid w:val="00426D49"/>
    <w:rsid w:val="0042733F"/>
    <w:rsid w:val="00432D93"/>
    <w:rsid w:val="0043382D"/>
    <w:rsid w:val="0043427F"/>
    <w:rsid w:val="00435317"/>
    <w:rsid w:val="00435F24"/>
    <w:rsid w:val="00435F5E"/>
    <w:rsid w:val="004417F3"/>
    <w:rsid w:val="00443B68"/>
    <w:rsid w:val="004441D5"/>
    <w:rsid w:val="00444FC9"/>
    <w:rsid w:val="004456FB"/>
    <w:rsid w:val="004457FF"/>
    <w:rsid w:val="00447165"/>
    <w:rsid w:val="004504FE"/>
    <w:rsid w:val="00450972"/>
    <w:rsid w:val="00453AA9"/>
    <w:rsid w:val="0045406D"/>
    <w:rsid w:val="004561CC"/>
    <w:rsid w:val="00456DF6"/>
    <w:rsid w:val="0045745A"/>
    <w:rsid w:val="004578E7"/>
    <w:rsid w:val="00461B52"/>
    <w:rsid w:val="0046225D"/>
    <w:rsid w:val="00463A19"/>
    <w:rsid w:val="00465734"/>
    <w:rsid w:val="004661B3"/>
    <w:rsid w:val="004675D3"/>
    <w:rsid w:val="00470BAB"/>
    <w:rsid w:val="00472AED"/>
    <w:rsid w:val="00472C0E"/>
    <w:rsid w:val="004742CA"/>
    <w:rsid w:val="00476E2C"/>
    <w:rsid w:val="00481948"/>
    <w:rsid w:val="00481C81"/>
    <w:rsid w:val="0048280C"/>
    <w:rsid w:val="004862CF"/>
    <w:rsid w:val="00493467"/>
    <w:rsid w:val="0049353F"/>
    <w:rsid w:val="004943A1"/>
    <w:rsid w:val="00494BF5"/>
    <w:rsid w:val="00495B6D"/>
    <w:rsid w:val="00495D49"/>
    <w:rsid w:val="00497893"/>
    <w:rsid w:val="00497F21"/>
    <w:rsid w:val="004A0C80"/>
    <w:rsid w:val="004A2E84"/>
    <w:rsid w:val="004B4F19"/>
    <w:rsid w:val="004B5B9D"/>
    <w:rsid w:val="004B7E0A"/>
    <w:rsid w:val="004C44B0"/>
    <w:rsid w:val="004C4722"/>
    <w:rsid w:val="004C5DA2"/>
    <w:rsid w:val="004D0548"/>
    <w:rsid w:val="004D2571"/>
    <w:rsid w:val="004D4787"/>
    <w:rsid w:val="004D543A"/>
    <w:rsid w:val="004D723B"/>
    <w:rsid w:val="004E021C"/>
    <w:rsid w:val="004E0FFD"/>
    <w:rsid w:val="004E1EEC"/>
    <w:rsid w:val="004E50F6"/>
    <w:rsid w:val="004E7360"/>
    <w:rsid w:val="004F0FB4"/>
    <w:rsid w:val="004F2C59"/>
    <w:rsid w:val="004F3359"/>
    <w:rsid w:val="004F5B85"/>
    <w:rsid w:val="00500594"/>
    <w:rsid w:val="00502A03"/>
    <w:rsid w:val="00503D0B"/>
    <w:rsid w:val="00510866"/>
    <w:rsid w:val="005120DC"/>
    <w:rsid w:val="00512F51"/>
    <w:rsid w:val="0052383E"/>
    <w:rsid w:val="00530096"/>
    <w:rsid w:val="00531C65"/>
    <w:rsid w:val="005334B1"/>
    <w:rsid w:val="0053381C"/>
    <w:rsid w:val="00535774"/>
    <w:rsid w:val="00537319"/>
    <w:rsid w:val="0053745E"/>
    <w:rsid w:val="00540649"/>
    <w:rsid w:val="00542F37"/>
    <w:rsid w:val="00546996"/>
    <w:rsid w:val="00550CAB"/>
    <w:rsid w:val="0055424A"/>
    <w:rsid w:val="00554A45"/>
    <w:rsid w:val="00555578"/>
    <w:rsid w:val="00556408"/>
    <w:rsid w:val="00556EBF"/>
    <w:rsid w:val="0056269C"/>
    <w:rsid w:val="00563982"/>
    <w:rsid w:val="005662D9"/>
    <w:rsid w:val="00567458"/>
    <w:rsid w:val="00570E0E"/>
    <w:rsid w:val="00572737"/>
    <w:rsid w:val="0057509C"/>
    <w:rsid w:val="00576F39"/>
    <w:rsid w:val="00576F77"/>
    <w:rsid w:val="00577AED"/>
    <w:rsid w:val="005814C3"/>
    <w:rsid w:val="00585DED"/>
    <w:rsid w:val="00587397"/>
    <w:rsid w:val="00596E88"/>
    <w:rsid w:val="005974E5"/>
    <w:rsid w:val="00597BE5"/>
    <w:rsid w:val="005A0791"/>
    <w:rsid w:val="005A131E"/>
    <w:rsid w:val="005A1771"/>
    <w:rsid w:val="005A2D11"/>
    <w:rsid w:val="005A3527"/>
    <w:rsid w:val="005A4BB1"/>
    <w:rsid w:val="005A5146"/>
    <w:rsid w:val="005A77EE"/>
    <w:rsid w:val="005B19E1"/>
    <w:rsid w:val="005B3D51"/>
    <w:rsid w:val="005B4BE6"/>
    <w:rsid w:val="005B6D4C"/>
    <w:rsid w:val="005B7E3F"/>
    <w:rsid w:val="005C117B"/>
    <w:rsid w:val="005C403F"/>
    <w:rsid w:val="005C4D56"/>
    <w:rsid w:val="005C5EC8"/>
    <w:rsid w:val="005C6149"/>
    <w:rsid w:val="005C6B5C"/>
    <w:rsid w:val="005C708C"/>
    <w:rsid w:val="005C7358"/>
    <w:rsid w:val="005D1B52"/>
    <w:rsid w:val="005D36C6"/>
    <w:rsid w:val="005D36FC"/>
    <w:rsid w:val="005D3B62"/>
    <w:rsid w:val="005E0B8C"/>
    <w:rsid w:val="005E1AA5"/>
    <w:rsid w:val="005E77AD"/>
    <w:rsid w:val="005F037C"/>
    <w:rsid w:val="005F25F1"/>
    <w:rsid w:val="005F29EC"/>
    <w:rsid w:val="005F6418"/>
    <w:rsid w:val="00601855"/>
    <w:rsid w:val="00604FE9"/>
    <w:rsid w:val="0060522E"/>
    <w:rsid w:val="00605E2F"/>
    <w:rsid w:val="006060C2"/>
    <w:rsid w:val="0060755E"/>
    <w:rsid w:val="00610202"/>
    <w:rsid w:val="0061075E"/>
    <w:rsid w:val="00614665"/>
    <w:rsid w:val="00614B9A"/>
    <w:rsid w:val="00617427"/>
    <w:rsid w:val="006231F3"/>
    <w:rsid w:val="006244EC"/>
    <w:rsid w:val="00624A5B"/>
    <w:rsid w:val="00626874"/>
    <w:rsid w:val="006330EA"/>
    <w:rsid w:val="00636C6F"/>
    <w:rsid w:val="00640844"/>
    <w:rsid w:val="00641534"/>
    <w:rsid w:val="00647C44"/>
    <w:rsid w:val="00656F9C"/>
    <w:rsid w:val="006575F9"/>
    <w:rsid w:val="006630B7"/>
    <w:rsid w:val="0066511C"/>
    <w:rsid w:val="00665B4D"/>
    <w:rsid w:val="00666626"/>
    <w:rsid w:val="006667AE"/>
    <w:rsid w:val="00667AA4"/>
    <w:rsid w:val="00676722"/>
    <w:rsid w:val="00676EFA"/>
    <w:rsid w:val="00677583"/>
    <w:rsid w:val="00680690"/>
    <w:rsid w:val="00680B5A"/>
    <w:rsid w:val="0068394F"/>
    <w:rsid w:val="00684E73"/>
    <w:rsid w:val="00686C42"/>
    <w:rsid w:val="00686DC3"/>
    <w:rsid w:val="006925A1"/>
    <w:rsid w:val="00692769"/>
    <w:rsid w:val="00692804"/>
    <w:rsid w:val="00693007"/>
    <w:rsid w:val="006960C2"/>
    <w:rsid w:val="006A0444"/>
    <w:rsid w:val="006A188E"/>
    <w:rsid w:val="006A57D4"/>
    <w:rsid w:val="006B19A6"/>
    <w:rsid w:val="006C1639"/>
    <w:rsid w:val="006C3221"/>
    <w:rsid w:val="006D0F5F"/>
    <w:rsid w:val="006D2933"/>
    <w:rsid w:val="006E031B"/>
    <w:rsid w:val="006E1532"/>
    <w:rsid w:val="006E1C49"/>
    <w:rsid w:val="006E28A5"/>
    <w:rsid w:val="006E3132"/>
    <w:rsid w:val="006E5AF2"/>
    <w:rsid w:val="006E6A45"/>
    <w:rsid w:val="006F04B0"/>
    <w:rsid w:val="006F18D5"/>
    <w:rsid w:val="006F3629"/>
    <w:rsid w:val="006F3994"/>
    <w:rsid w:val="006F468B"/>
    <w:rsid w:val="006F62EE"/>
    <w:rsid w:val="00701F57"/>
    <w:rsid w:val="00705464"/>
    <w:rsid w:val="00706F67"/>
    <w:rsid w:val="0070707C"/>
    <w:rsid w:val="00707F34"/>
    <w:rsid w:val="00712AF9"/>
    <w:rsid w:val="007211B3"/>
    <w:rsid w:val="007232DD"/>
    <w:rsid w:val="00723333"/>
    <w:rsid w:val="00723A08"/>
    <w:rsid w:val="00723EA5"/>
    <w:rsid w:val="007251C1"/>
    <w:rsid w:val="00726AB4"/>
    <w:rsid w:val="00730373"/>
    <w:rsid w:val="00731A9B"/>
    <w:rsid w:val="00734A04"/>
    <w:rsid w:val="00736503"/>
    <w:rsid w:val="0073783D"/>
    <w:rsid w:val="00744876"/>
    <w:rsid w:val="00745DCF"/>
    <w:rsid w:val="007477C6"/>
    <w:rsid w:val="00750123"/>
    <w:rsid w:val="00751675"/>
    <w:rsid w:val="00752303"/>
    <w:rsid w:val="00755061"/>
    <w:rsid w:val="007571B8"/>
    <w:rsid w:val="007605A6"/>
    <w:rsid w:val="007612C7"/>
    <w:rsid w:val="00761496"/>
    <w:rsid w:val="007616CD"/>
    <w:rsid w:val="00761DBB"/>
    <w:rsid w:val="00763AB9"/>
    <w:rsid w:val="00765527"/>
    <w:rsid w:val="00765D80"/>
    <w:rsid w:val="00766734"/>
    <w:rsid w:val="00766EED"/>
    <w:rsid w:val="007672A3"/>
    <w:rsid w:val="00767DDD"/>
    <w:rsid w:val="00775174"/>
    <w:rsid w:val="0077785B"/>
    <w:rsid w:val="00777A8A"/>
    <w:rsid w:val="00780B6B"/>
    <w:rsid w:val="00781148"/>
    <w:rsid w:val="00783DE2"/>
    <w:rsid w:val="00784577"/>
    <w:rsid w:val="0078729B"/>
    <w:rsid w:val="00787CFD"/>
    <w:rsid w:val="007902D3"/>
    <w:rsid w:val="00790A64"/>
    <w:rsid w:val="00793E56"/>
    <w:rsid w:val="00795B4A"/>
    <w:rsid w:val="007974D5"/>
    <w:rsid w:val="00797B72"/>
    <w:rsid w:val="007A1342"/>
    <w:rsid w:val="007A1743"/>
    <w:rsid w:val="007A597C"/>
    <w:rsid w:val="007A684A"/>
    <w:rsid w:val="007A6EFC"/>
    <w:rsid w:val="007A704C"/>
    <w:rsid w:val="007B06D8"/>
    <w:rsid w:val="007B1D95"/>
    <w:rsid w:val="007B224A"/>
    <w:rsid w:val="007B3D9E"/>
    <w:rsid w:val="007B5F5A"/>
    <w:rsid w:val="007B63F2"/>
    <w:rsid w:val="007B684F"/>
    <w:rsid w:val="007B7761"/>
    <w:rsid w:val="007C07A4"/>
    <w:rsid w:val="007C13C0"/>
    <w:rsid w:val="007C63EC"/>
    <w:rsid w:val="007C6705"/>
    <w:rsid w:val="007C7542"/>
    <w:rsid w:val="007D0129"/>
    <w:rsid w:val="007D20CA"/>
    <w:rsid w:val="007D2211"/>
    <w:rsid w:val="007D4408"/>
    <w:rsid w:val="007D5651"/>
    <w:rsid w:val="007D5813"/>
    <w:rsid w:val="007D7692"/>
    <w:rsid w:val="007D7930"/>
    <w:rsid w:val="007E1F86"/>
    <w:rsid w:val="007E26D4"/>
    <w:rsid w:val="007E4499"/>
    <w:rsid w:val="007E5582"/>
    <w:rsid w:val="007E6EC4"/>
    <w:rsid w:val="007E784B"/>
    <w:rsid w:val="007F026A"/>
    <w:rsid w:val="007F19DB"/>
    <w:rsid w:val="007F566C"/>
    <w:rsid w:val="007F5B13"/>
    <w:rsid w:val="00800DA5"/>
    <w:rsid w:val="0080177E"/>
    <w:rsid w:val="008033C9"/>
    <w:rsid w:val="0080457E"/>
    <w:rsid w:val="00814337"/>
    <w:rsid w:val="008161C6"/>
    <w:rsid w:val="008179D7"/>
    <w:rsid w:val="008218E9"/>
    <w:rsid w:val="00823B3F"/>
    <w:rsid w:val="0082506E"/>
    <w:rsid w:val="0082741E"/>
    <w:rsid w:val="00827F8F"/>
    <w:rsid w:val="00832487"/>
    <w:rsid w:val="00832614"/>
    <w:rsid w:val="0083383A"/>
    <w:rsid w:val="00834CCC"/>
    <w:rsid w:val="00835A0A"/>
    <w:rsid w:val="008414A3"/>
    <w:rsid w:val="00841F97"/>
    <w:rsid w:val="0084253E"/>
    <w:rsid w:val="008437B4"/>
    <w:rsid w:val="00844606"/>
    <w:rsid w:val="0085016F"/>
    <w:rsid w:val="0085153A"/>
    <w:rsid w:val="00852557"/>
    <w:rsid w:val="00857315"/>
    <w:rsid w:val="00861ED1"/>
    <w:rsid w:val="00862A00"/>
    <w:rsid w:val="00864064"/>
    <w:rsid w:val="00867BF5"/>
    <w:rsid w:val="008716BA"/>
    <w:rsid w:val="0087214D"/>
    <w:rsid w:val="00872517"/>
    <w:rsid w:val="00874414"/>
    <w:rsid w:val="0087529D"/>
    <w:rsid w:val="00876A75"/>
    <w:rsid w:val="008776B4"/>
    <w:rsid w:val="008803E8"/>
    <w:rsid w:val="008823F6"/>
    <w:rsid w:val="00882F9A"/>
    <w:rsid w:val="008852CB"/>
    <w:rsid w:val="00885696"/>
    <w:rsid w:val="0088645D"/>
    <w:rsid w:val="008869A8"/>
    <w:rsid w:val="00893545"/>
    <w:rsid w:val="00894981"/>
    <w:rsid w:val="00895DEE"/>
    <w:rsid w:val="00896588"/>
    <w:rsid w:val="00896950"/>
    <w:rsid w:val="008A1C72"/>
    <w:rsid w:val="008A2BA0"/>
    <w:rsid w:val="008A3608"/>
    <w:rsid w:val="008A6D34"/>
    <w:rsid w:val="008A6F07"/>
    <w:rsid w:val="008A79FB"/>
    <w:rsid w:val="008A7EBF"/>
    <w:rsid w:val="008B08AB"/>
    <w:rsid w:val="008C127E"/>
    <w:rsid w:val="008D1631"/>
    <w:rsid w:val="008D6DF8"/>
    <w:rsid w:val="008D6E09"/>
    <w:rsid w:val="008E2090"/>
    <w:rsid w:val="008E2C91"/>
    <w:rsid w:val="008E4AC0"/>
    <w:rsid w:val="008F0280"/>
    <w:rsid w:val="008F0FAD"/>
    <w:rsid w:val="008F3326"/>
    <w:rsid w:val="008F35CE"/>
    <w:rsid w:val="008F6F2D"/>
    <w:rsid w:val="008F7061"/>
    <w:rsid w:val="0090108D"/>
    <w:rsid w:val="009014C8"/>
    <w:rsid w:val="00901B84"/>
    <w:rsid w:val="009052C9"/>
    <w:rsid w:val="00906095"/>
    <w:rsid w:val="00907891"/>
    <w:rsid w:val="00911681"/>
    <w:rsid w:val="0091237B"/>
    <w:rsid w:val="00916D05"/>
    <w:rsid w:val="00916F9D"/>
    <w:rsid w:val="0092158A"/>
    <w:rsid w:val="009233D8"/>
    <w:rsid w:val="00926267"/>
    <w:rsid w:val="00927CDB"/>
    <w:rsid w:val="009322F4"/>
    <w:rsid w:val="009354C2"/>
    <w:rsid w:val="00935592"/>
    <w:rsid w:val="0093720A"/>
    <w:rsid w:val="00937667"/>
    <w:rsid w:val="00942266"/>
    <w:rsid w:val="00944A60"/>
    <w:rsid w:val="009450DA"/>
    <w:rsid w:val="009453BC"/>
    <w:rsid w:val="009503C6"/>
    <w:rsid w:val="009543BF"/>
    <w:rsid w:val="009545B4"/>
    <w:rsid w:val="00955220"/>
    <w:rsid w:val="00955701"/>
    <w:rsid w:val="009558F3"/>
    <w:rsid w:val="00956040"/>
    <w:rsid w:val="00957EE1"/>
    <w:rsid w:val="00961780"/>
    <w:rsid w:val="009623E1"/>
    <w:rsid w:val="00962E38"/>
    <w:rsid w:val="00972164"/>
    <w:rsid w:val="00972AAC"/>
    <w:rsid w:val="0097498F"/>
    <w:rsid w:val="009766EB"/>
    <w:rsid w:val="009770AA"/>
    <w:rsid w:val="00994DF2"/>
    <w:rsid w:val="009963AE"/>
    <w:rsid w:val="00996EF5"/>
    <w:rsid w:val="00997F5D"/>
    <w:rsid w:val="009A1C9E"/>
    <w:rsid w:val="009A2444"/>
    <w:rsid w:val="009A2AE8"/>
    <w:rsid w:val="009A3350"/>
    <w:rsid w:val="009A3405"/>
    <w:rsid w:val="009A37C2"/>
    <w:rsid w:val="009A6DA1"/>
    <w:rsid w:val="009A7C54"/>
    <w:rsid w:val="009B0E7F"/>
    <w:rsid w:val="009B7AE7"/>
    <w:rsid w:val="009B7D12"/>
    <w:rsid w:val="009C1EC8"/>
    <w:rsid w:val="009C34B8"/>
    <w:rsid w:val="009C52B0"/>
    <w:rsid w:val="009D04CD"/>
    <w:rsid w:val="009D4E2F"/>
    <w:rsid w:val="009D7B78"/>
    <w:rsid w:val="009E0976"/>
    <w:rsid w:val="009E2C52"/>
    <w:rsid w:val="009E3279"/>
    <w:rsid w:val="009E67C5"/>
    <w:rsid w:val="009E74EC"/>
    <w:rsid w:val="009F64CC"/>
    <w:rsid w:val="009F6F90"/>
    <w:rsid w:val="009F71ED"/>
    <w:rsid w:val="009F7845"/>
    <w:rsid w:val="00A00C97"/>
    <w:rsid w:val="00A01236"/>
    <w:rsid w:val="00A019D4"/>
    <w:rsid w:val="00A050F9"/>
    <w:rsid w:val="00A05180"/>
    <w:rsid w:val="00A06888"/>
    <w:rsid w:val="00A1021A"/>
    <w:rsid w:val="00A103FB"/>
    <w:rsid w:val="00A152AE"/>
    <w:rsid w:val="00A1557B"/>
    <w:rsid w:val="00A20524"/>
    <w:rsid w:val="00A223FD"/>
    <w:rsid w:val="00A236C8"/>
    <w:rsid w:val="00A246A6"/>
    <w:rsid w:val="00A2517A"/>
    <w:rsid w:val="00A2642E"/>
    <w:rsid w:val="00A27804"/>
    <w:rsid w:val="00A30B24"/>
    <w:rsid w:val="00A30BCA"/>
    <w:rsid w:val="00A30DA2"/>
    <w:rsid w:val="00A30DAD"/>
    <w:rsid w:val="00A31D97"/>
    <w:rsid w:val="00A32891"/>
    <w:rsid w:val="00A34988"/>
    <w:rsid w:val="00A364B2"/>
    <w:rsid w:val="00A40781"/>
    <w:rsid w:val="00A40C40"/>
    <w:rsid w:val="00A4311A"/>
    <w:rsid w:val="00A45077"/>
    <w:rsid w:val="00A509AD"/>
    <w:rsid w:val="00A51AA5"/>
    <w:rsid w:val="00A54FE6"/>
    <w:rsid w:val="00A54FFC"/>
    <w:rsid w:val="00A5652D"/>
    <w:rsid w:val="00A60B91"/>
    <w:rsid w:val="00A61741"/>
    <w:rsid w:val="00A62EEE"/>
    <w:rsid w:val="00A64EF9"/>
    <w:rsid w:val="00A67E7C"/>
    <w:rsid w:val="00A717E0"/>
    <w:rsid w:val="00A722CB"/>
    <w:rsid w:val="00A7447E"/>
    <w:rsid w:val="00A75A54"/>
    <w:rsid w:val="00A769A9"/>
    <w:rsid w:val="00A8345E"/>
    <w:rsid w:val="00A85234"/>
    <w:rsid w:val="00A878C3"/>
    <w:rsid w:val="00A939ED"/>
    <w:rsid w:val="00A941AF"/>
    <w:rsid w:val="00A94540"/>
    <w:rsid w:val="00A94C8B"/>
    <w:rsid w:val="00A96723"/>
    <w:rsid w:val="00AA3A20"/>
    <w:rsid w:val="00AA7390"/>
    <w:rsid w:val="00AB0776"/>
    <w:rsid w:val="00AB08EA"/>
    <w:rsid w:val="00AB16BD"/>
    <w:rsid w:val="00AB196F"/>
    <w:rsid w:val="00AB1A40"/>
    <w:rsid w:val="00AB2688"/>
    <w:rsid w:val="00AB2BD5"/>
    <w:rsid w:val="00AB4491"/>
    <w:rsid w:val="00AB4D25"/>
    <w:rsid w:val="00AB53F7"/>
    <w:rsid w:val="00AB60D7"/>
    <w:rsid w:val="00AC060A"/>
    <w:rsid w:val="00AC1654"/>
    <w:rsid w:val="00AC4D29"/>
    <w:rsid w:val="00AD2FFD"/>
    <w:rsid w:val="00AD5047"/>
    <w:rsid w:val="00AD75AA"/>
    <w:rsid w:val="00AE12C7"/>
    <w:rsid w:val="00AE14CB"/>
    <w:rsid w:val="00AE217F"/>
    <w:rsid w:val="00AE2AF2"/>
    <w:rsid w:val="00AE4400"/>
    <w:rsid w:val="00AE457D"/>
    <w:rsid w:val="00AE55C0"/>
    <w:rsid w:val="00AE617C"/>
    <w:rsid w:val="00AE6441"/>
    <w:rsid w:val="00AE7F24"/>
    <w:rsid w:val="00AF0A6E"/>
    <w:rsid w:val="00AF1D9D"/>
    <w:rsid w:val="00AF3D5C"/>
    <w:rsid w:val="00AF59E1"/>
    <w:rsid w:val="00AF6DFA"/>
    <w:rsid w:val="00B00791"/>
    <w:rsid w:val="00B06834"/>
    <w:rsid w:val="00B070B7"/>
    <w:rsid w:val="00B072C8"/>
    <w:rsid w:val="00B118F2"/>
    <w:rsid w:val="00B13E21"/>
    <w:rsid w:val="00B16BCF"/>
    <w:rsid w:val="00B215F3"/>
    <w:rsid w:val="00B22A30"/>
    <w:rsid w:val="00B2403C"/>
    <w:rsid w:val="00B2426C"/>
    <w:rsid w:val="00B26294"/>
    <w:rsid w:val="00B275FA"/>
    <w:rsid w:val="00B30196"/>
    <w:rsid w:val="00B3544A"/>
    <w:rsid w:val="00B41613"/>
    <w:rsid w:val="00B44677"/>
    <w:rsid w:val="00B44ED7"/>
    <w:rsid w:val="00B46D7E"/>
    <w:rsid w:val="00B47977"/>
    <w:rsid w:val="00B61384"/>
    <w:rsid w:val="00B61DED"/>
    <w:rsid w:val="00B63C36"/>
    <w:rsid w:val="00B65B55"/>
    <w:rsid w:val="00B66D57"/>
    <w:rsid w:val="00B70C77"/>
    <w:rsid w:val="00B74CAF"/>
    <w:rsid w:val="00B763F1"/>
    <w:rsid w:val="00B77873"/>
    <w:rsid w:val="00B802A1"/>
    <w:rsid w:val="00B8043A"/>
    <w:rsid w:val="00B84CED"/>
    <w:rsid w:val="00B85085"/>
    <w:rsid w:val="00B85538"/>
    <w:rsid w:val="00B86965"/>
    <w:rsid w:val="00B923EE"/>
    <w:rsid w:val="00B94AAA"/>
    <w:rsid w:val="00BA0A20"/>
    <w:rsid w:val="00BA0FE6"/>
    <w:rsid w:val="00BA1434"/>
    <w:rsid w:val="00BA23E3"/>
    <w:rsid w:val="00BA6703"/>
    <w:rsid w:val="00BB272B"/>
    <w:rsid w:val="00BB5AB5"/>
    <w:rsid w:val="00BB7AC9"/>
    <w:rsid w:val="00BC02B9"/>
    <w:rsid w:val="00BC0588"/>
    <w:rsid w:val="00BC29E6"/>
    <w:rsid w:val="00BC3C57"/>
    <w:rsid w:val="00BC3FF0"/>
    <w:rsid w:val="00BC69C8"/>
    <w:rsid w:val="00BD08E2"/>
    <w:rsid w:val="00BD2B87"/>
    <w:rsid w:val="00BD33D5"/>
    <w:rsid w:val="00BD38C9"/>
    <w:rsid w:val="00BD5603"/>
    <w:rsid w:val="00BD6329"/>
    <w:rsid w:val="00BD64F5"/>
    <w:rsid w:val="00BD7383"/>
    <w:rsid w:val="00BE0FDE"/>
    <w:rsid w:val="00BE140B"/>
    <w:rsid w:val="00BE5080"/>
    <w:rsid w:val="00BE635C"/>
    <w:rsid w:val="00BF2DF8"/>
    <w:rsid w:val="00BF3063"/>
    <w:rsid w:val="00BF4F90"/>
    <w:rsid w:val="00BF7189"/>
    <w:rsid w:val="00C0003C"/>
    <w:rsid w:val="00C014F6"/>
    <w:rsid w:val="00C01DA2"/>
    <w:rsid w:val="00C03015"/>
    <w:rsid w:val="00C04438"/>
    <w:rsid w:val="00C04BFE"/>
    <w:rsid w:val="00C05286"/>
    <w:rsid w:val="00C06785"/>
    <w:rsid w:val="00C06C1B"/>
    <w:rsid w:val="00C07E8D"/>
    <w:rsid w:val="00C11B80"/>
    <w:rsid w:val="00C16CFA"/>
    <w:rsid w:val="00C20D04"/>
    <w:rsid w:val="00C21D9F"/>
    <w:rsid w:val="00C22E39"/>
    <w:rsid w:val="00C23226"/>
    <w:rsid w:val="00C2391F"/>
    <w:rsid w:val="00C27847"/>
    <w:rsid w:val="00C315B9"/>
    <w:rsid w:val="00C31BFE"/>
    <w:rsid w:val="00C325B1"/>
    <w:rsid w:val="00C34176"/>
    <w:rsid w:val="00C35CF5"/>
    <w:rsid w:val="00C36035"/>
    <w:rsid w:val="00C360CF"/>
    <w:rsid w:val="00C367F9"/>
    <w:rsid w:val="00C4261F"/>
    <w:rsid w:val="00C4316E"/>
    <w:rsid w:val="00C453DF"/>
    <w:rsid w:val="00C45720"/>
    <w:rsid w:val="00C5256F"/>
    <w:rsid w:val="00C54098"/>
    <w:rsid w:val="00C55755"/>
    <w:rsid w:val="00C56EFB"/>
    <w:rsid w:val="00C574CB"/>
    <w:rsid w:val="00C608E1"/>
    <w:rsid w:val="00C658BA"/>
    <w:rsid w:val="00C66527"/>
    <w:rsid w:val="00C673F9"/>
    <w:rsid w:val="00C67AE8"/>
    <w:rsid w:val="00C67E23"/>
    <w:rsid w:val="00C72A7C"/>
    <w:rsid w:val="00C7399D"/>
    <w:rsid w:val="00C7403C"/>
    <w:rsid w:val="00C7695A"/>
    <w:rsid w:val="00C7728C"/>
    <w:rsid w:val="00C802C1"/>
    <w:rsid w:val="00C822C2"/>
    <w:rsid w:val="00C86407"/>
    <w:rsid w:val="00C9149E"/>
    <w:rsid w:val="00C948F4"/>
    <w:rsid w:val="00C95242"/>
    <w:rsid w:val="00C966FA"/>
    <w:rsid w:val="00C96AD2"/>
    <w:rsid w:val="00CA1866"/>
    <w:rsid w:val="00CA199C"/>
    <w:rsid w:val="00CA296C"/>
    <w:rsid w:val="00CA3C20"/>
    <w:rsid w:val="00CA4DFC"/>
    <w:rsid w:val="00CA67FF"/>
    <w:rsid w:val="00CB104F"/>
    <w:rsid w:val="00CB1209"/>
    <w:rsid w:val="00CB1442"/>
    <w:rsid w:val="00CB2FEF"/>
    <w:rsid w:val="00CB3BBD"/>
    <w:rsid w:val="00CB4EAE"/>
    <w:rsid w:val="00CB6953"/>
    <w:rsid w:val="00CB7B52"/>
    <w:rsid w:val="00CC2BB7"/>
    <w:rsid w:val="00CC617F"/>
    <w:rsid w:val="00CC6960"/>
    <w:rsid w:val="00CD24EE"/>
    <w:rsid w:val="00CD2859"/>
    <w:rsid w:val="00CD5047"/>
    <w:rsid w:val="00CE0BFD"/>
    <w:rsid w:val="00CE1B6F"/>
    <w:rsid w:val="00CE4DE3"/>
    <w:rsid w:val="00CE5A75"/>
    <w:rsid w:val="00CE6A4C"/>
    <w:rsid w:val="00CF15D4"/>
    <w:rsid w:val="00CF3A0B"/>
    <w:rsid w:val="00CF59F1"/>
    <w:rsid w:val="00CF5F15"/>
    <w:rsid w:val="00D00F19"/>
    <w:rsid w:val="00D00F99"/>
    <w:rsid w:val="00D026CF"/>
    <w:rsid w:val="00D030A0"/>
    <w:rsid w:val="00D1062D"/>
    <w:rsid w:val="00D13958"/>
    <w:rsid w:val="00D15898"/>
    <w:rsid w:val="00D169AE"/>
    <w:rsid w:val="00D1704D"/>
    <w:rsid w:val="00D17C3F"/>
    <w:rsid w:val="00D2376A"/>
    <w:rsid w:val="00D246F8"/>
    <w:rsid w:val="00D24990"/>
    <w:rsid w:val="00D258EC"/>
    <w:rsid w:val="00D25FF9"/>
    <w:rsid w:val="00D27403"/>
    <w:rsid w:val="00D305C0"/>
    <w:rsid w:val="00D32EED"/>
    <w:rsid w:val="00D3301D"/>
    <w:rsid w:val="00D35EEF"/>
    <w:rsid w:val="00D405E9"/>
    <w:rsid w:val="00D406E9"/>
    <w:rsid w:val="00D41BAE"/>
    <w:rsid w:val="00D4310B"/>
    <w:rsid w:val="00D434C0"/>
    <w:rsid w:val="00D43BC8"/>
    <w:rsid w:val="00D44EF6"/>
    <w:rsid w:val="00D463C2"/>
    <w:rsid w:val="00D5082E"/>
    <w:rsid w:val="00D54904"/>
    <w:rsid w:val="00D54FA2"/>
    <w:rsid w:val="00D55555"/>
    <w:rsid w:val="00D55B21"/>
    <w:rsid w:val="00D566A9"/>
    <w:rsid w:val="00D615FF"/>
    <w:rsid w:val="00D64D0C"/>
    <w:rsid w:val="00D67F2F"/>
    <w:rsid w:val="00D73C44"/>
    <w:rsid w:val="00D80D27"/>
    <w:rsid w:val="00D811FB"/>
    <w:rsid w:val="00D8140E"/>
    <w:rsid w:val="00D83AF9"/>
    <w:rsid w:val="00D85C63"/>
    <w:rsid w:val="00D9084D"/>
    <w:rsid w:val="00D92CA0"/>
    <w:rsid w:val="00D93E04"/>
    <w:rsid w:val="00D95752"/>
    <w:rsid w:val="00D96FEC"/>
    <w:rsid w:val="00DA0D86"/>
    <w:rsid w:val="00DA12E3"/>
    <w:rsid w:val="00DA2267"/>
    <w:rsid w:val="00DA2DB7"/>
    <w:rsid w:val="00DA455A"/>
    <w:rsid w:val="00DA5E02"/>
    <w:rsid w:val="00DA63A0"/>
    <w:rsid w:val="00DA7990"/>
    <w:rsid w:val="00DB292C"/>
    <w:rsid w:val="00DB3338"/>
    <w:rsid w:val="00DB52C9"/>
    <w:rsid w:val="00DB674A"/>
    <w:rsid w:val="00DB7789"/>
    <w:rsid w:val="00DC034C"/>
    <w:rsid w:val="00DC1EE7"/>
    <w:rsid w:val="00DC1EEB"/>
    <w:rsid w:val="00DC2CE0"/>
    <w:rsid w:val="00DC2ED9"/>
    <w:rsid w:val="00DC30CC"/>
    <w:rsid w:val="00DC3F09"/>
    <w:rsid w:val="00DC49B5"/>
    <w:rsid w:val="00DC67DA"/>
    <w:rsid w:val="00DD2C64"/>
    <w:rsid w:val="00DD5B6C"/>
    <w:rsid w:val="00DD6F64"/>
    <w:rsid w:val="00DD7707"/>
    <w:rsid w:val="00DD7FBD"/>
    <w:rsid w:val="00DE0986"/>
    <w:rsid w:val="00DE32FA"/>
    <w:rsid w:val="00DE3E2B"/>
    <w:rsid w:val="00DE4B34"/>
    <w:rsid w:val="00DE635F"/>
    <w:rsid w:val="00DF0B39"/>
    <w:rsid w:val="00DF0CB9"/>
    <w:rsid w:val="00DF2217"/>
    <w:rsid w:val="00DF27A5"/>
    <w:rsid w:val="00DF4350"/>
    <w:rsid w:val="00DF5DDB"/>
    <w:rsid w:val="00DF5EDB"/>
    <w:rsid w:val="00DF5F91"/>
    <w:rsid w:val="00E00111"/>
    <w:rsid w:val="00E01903"/>
    <w:rsid w:val="00E04992"/>
    <w:rsid w:val="00E04CFE"/>
    <w:rsid w:val="00E14A60"/>
    <w:rsid w:val="00E14F22"/>
    <w:rsid w:val="00E1649D"/>
    <w:rsid w:val="00E16A64"/>
    <w:rsid w:val="00E20B75"/>
    <w:rsid w:val="00E21923"/>
    <w:rsid w:val="00E24691"/>
    <w:rsid w:val="00E30435"/>
    <w:rsid w:val="00E34852"/>
    <w:rsid w:val="00E3581F"/>
    <w:rsid w:val="00E358A2"/>
    <w:rsid w:val="00E37E95"/>
    <w:rsid w:val="00E408C4"/>
    <w:rsid w:val="00E43488"/>
    <w:rsid w:val="00E44066"/>
    <w:rsid w:val="00E440A2"/>
    <w:rsid w:val="00E524EF"/>
    <w:rsid w:val="00E5369E"/>
    <w:rsid w:val="00E54A4F"/>
    <w:rsid w:val="00E72FC8"/>
    <w:rsid w:val="00E75A6B"/>
    <w:rsid w:val="00E77259"/>
    <w:rsid w:val="00E7774A"/>
    <w:rsid w:val="00E80B45"/>
    <w:rsid w:val="00E83E2E"/>
    <w:rsid w:val="00E86A31"/>
    <w:rsid w:val="00E87CDF"/>
    <w:rsid w:val="00E91061"/>
    <w:rsid w:val="00E9151D"/>
    <w:rsid w:val="00E9182F"/>
    <w:rsid w:val="00E92139"/>
    <w:rsid w:val="00E93235"/>
    <w:rsid w:val="00E93B37"/>
    <w:rsid w:val="00E944C7"/>
    <w:rsid w:val="00E97212"/>
    <w:rsid w:val="00E976C5"/>
    <w:rsid w:val="00E9773F"/>
    <w:rsid w:val="00EA3B0E"/>
    <w:rsid w:val="00EA520C"/>
    <w:rsid w:val="00EA5E10"/>
    <w:rsid w:val="00EA6359"/>
    <w:rsid w:val="00EB1B62"/>
    <w:rsid w:val="00EB1D78"/>
    <w:rsid w:val="00EB2E2E"/>
    <w:rsid w:val="00EB6D73"/>
    <w:rsid w:val="00EC0650"/>
    <w:rsid w:val="00EC39CD"/>
    <w:rsid w:val="00EC498C"/>
    <w:rsid w:val="00EC6C7A"/>
    <w:rsid w:val="00EC6E3A"/>
    <w:rsid w:val="00ED07ED"/>
    <w:rsid w:val="00ED7C7F"/>
    <w:rsid w:val="00EE1A9E"/>
    <w:rsid w:val="00EE2BA1"/>
    <w:rsid w:val="00EE4898"/>
    <w:rsid w:val="00EF07EC"/>
    <w:rsid w:val="00EF38D3"/>
    <w:rsid w:val="00EF79E4"/>
    <w:rsid w:val="00EF7ECB"/>
    <w:rsid w:val="00F00411"/>
    <w:rsid w:val="00F0659D"/>
    <w:rsid w:val="00F075A5"/>
    <w:rsid w:val="00F117A6"/>
    <w:rsid w:val="00F11FC1"/>
    <w:rsid w:val="00F12F8F"/>
    <w:rsid w:val="00F13C63"/>
    <w:rsid w:val="00F14DA0"/>
    <w:rsid w:val="00F14ED6"/>
    <w:rsid w:val="00F158AD"/>
    <w:rsid w:val="00F20575"/>
    <w:rsid w:val="00F208F9"/>
    <w:rsid w:val="00F20C03"/>
    <w:rsid w:val="00F23BB5"/>
    <w:rsid w:val="00F23DB9"/>
    <w:rsid w:val="00F245E9"/>
    <w:rsid w:val="00F2787D"/>
    <w:rsid w:val="00F30BE7"/>
    <w:rsid w:val="00F31058"/>
    <w:rsid w:val="00F32664"/>
    <w:rsid w:val="00F32E97"/>
    <w:rsid w:val="00F331BD"/>
    <w:rsid w:val="00F33561"/>
    <w:rsid w:val="00F3701F"/>
    <w:rsid w:val="00F37057"/>
    <w:rsid w:val="00F37FCB"/>
    <w:rsid w:val="00F41D1B"/>
    <w:rsid w:val="00F476DC"/>
    <w:rsid w:val="00F50502"/>
    <w:rsid w:val="00F5585D"/>
    <w:rsid w:val="00F55BC7"/>
    <w:rsid w:val="00F5769D"/>
    <w:rsid w:val="00F57DE2"/>
    <w:rsid w:val="00F60EBC"/>
    <w:rsid w:val="00F610F0"/>
    <w:rsid w:val="00F61DAB"/>
    <w:rsid w:val="00F62B84"/>
    <w:rsid w:val="00F667BA"/>
    <w:rsid w:val="00F702D6"/>
    <w:rsid w:val="00F730B3"/>
    <w:rsid w:val="00F816D2"/>
    <w:rsid w:val="00F82C2A"/>
    <w:rsid w:val="00F83D20"/>
    <w:rsid w:val="00F840E4"/>
    <w:rsid w:val="00F854B1"/>
    <w:rsid w:val="00F8682C"/>
    <w:rsid w:val="00F9033D"/>
    <w:rsid w:val="00F9087D"/>
    <w:rsid w:val="00F910F7"/>
    <w:rsid w:val="00F95625"/>
    <w:rsid w:val="00F96041"/>
    <w:rsid w:val="00F9624D"/>
    <w:rsid w:val="00F97367"/>
    <w:rsid w:val="00FA24E4"/>
    <w:rsid w:val="00FA3139"/>
    <w:rsid w:val="00FA69A4"/>
    <w:rsid w:val="00FA7419"/>
    <w:rsid w:val="00FA7DAF"/>
    <w:rsid w:val="00FB47F9"/>
    <w:rsid w:val="00FB561E"/>
    <w:rsid w:val="00FB6D92"/>
    <w:rsid w:val="00FB781F"/>
    <w:rsid w:val="00FB7CBD"/>
    <w:rsid w:val="00FD169E"/>
    <w:rsid w:val="00FD19E9"/>
    <w:rsid w:val="00FD3B4A"/>
    <w:rsid w:val="00FD47D3"/>
    <w:rsid w:val="00FD5B1D"/>
    <w:rsid w:val="00FD69EF"/>
    <w:rsid w:val="00FD6DC4"/>
    <w:rsid w:val="00FE2EBA"/>
    <w:rsid w:val="00FE4455"/>
    <w:rsid w:val="00FE6E2A"/>
    <w:rsid w:val="00FE6E52"/>
    <w:rsid w:val="00FF23F5"/>
    <w:rsid w:val="00FF294E"/>
    <w:rsid w:val="00FF3034"/>
    <w:rsid w:val="00FF447F"/>
    <w:rsid w:val="00FF6C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F96063F"/>
  <w15:docId w15:val="{17B0D938-F4A4-4B13-809C-FAD24F54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DF2"/>
    <w:pPr>
      <w:widowControl w:val="0"/>
      <w:autoSpaceDE w:val="0"/>
      <w:autoSpaceDN w:val="0"/>
      <w:adjustRightInd w:val="0"/>
    </w:pPr>
    <w:rPr>
      <w:szCs w:val="24"/>
      <w:lang w:bidi="ar-SA"/>
    </w:rPr>
  </w:style>
  <w:style w:type="paragraph" w:styleId="Heading1">
    <w:name w:val="heading 1"/>
    <w:basedOn w:val="Normal"/>
    <w:next w:val="FERCparanumber"/>
    <w:link w:val="Heading1Char"/>
    <w:qFormat/>
    <w:rsid w:val="000467A1"/>
    <w:pPr>
      <w:keepNext/>
      <w:keepLines/>
      <w:widowControl/>
      <w:numPr>
        <w:numId w:val="32"/>
      </w:numPr>
      <w:spacing w:after="260"/>
      <w:outlineLvl w:val="0"/>
    </w:pPr>
    <w:rPr>
      <w:b/>
      <w:bCs/>
      <w:kern w:val="32"/>
      <w:szCs w:val="32"/>
      <w:u w:val="single"/>
    </w:rPr>
  </w:style>
  <w:style w:type="paragraph" w:styleId="Heading2">
    <w:name w:val="heading 2"/>
    <w:basedOn w:val="Normal"/>
    <w:next w:val="FERCparanumber"/>
    <w:qFormat/>
    <w:rsid w:val="000467A1"/>
    <w:pPr>
      <w:keepNext/>
      <w:keepLines/>
      <w:widowControl/>
      <w:numPr>
        <w:ilvl w:val="1"/>
        <w:numId w:val="32"/>
      </w:numPr>
      <w:spacing w:after="260"/>
      <w:outlineLvl w:val="1"/>
    </w:pPr>
    <w:rPr>
      <w:b/>
      <w:bCs/>
      <w:iCs/>
      <w:kern w:val="32"/>
      <w:szCs w:val="28"/>
      <w:u w:val="single"/>
    </w:rPr>
  </w:style>
  <w:style w:type="paragraph" w:styleId="Heading3">
    <w:name w:val="heading 3"/>
    <w:basedOn w:val="Normal"/>
    <w:next w:val="FERCparanumber"/>
    <w:qFormat/>
    <w:rsid w:val="000467A1"/>
    <w:pPr>
      <w:keepNext/>
      <w:keepLines/>
      <w:widowControl/>
      <w:numPr>
        <w:ilvl w:val="2"/>
        <w:numId w:val="32"/>
      </w:numPr>
      <w:spacing w:after="260"/>
      <w:outlineLvl w:val="2"/>
    </w:pPr>
    <w:rPr>
      <w:b/>
      <w:bCs/>
      <w:kern w:val="32"/>
      <w:u w:val="single"/>
    </w:rPr>
  </w:style>
  <w:style w:type="paragraph" w:styleId="Heading4">
    <w:name w:val="heading 4"/>
    <w:basedOn w:val="Normal"/>
    <w:next w:val="FERCparanumber"/>
    <w:qFormat/>
    <w:rsid w:val="000467A1"/>
    <w:pPr>
      <w:keepNext/>
      <w:keepLines/>
      <w:widowControl/>
      <w:numPr>
        <w:ilvl w:val="3"/>
        <w:numId w:val="32"/>
      </w:numPr>
      <w:spacing w:after="260"/>
      <w:outlineLvl w:val="3"/>
    </w:pPr>
    <w:rPr>
      <w:b/>
      <w:bCs/>
      <w:kern w:val="32"/>
      <w:szCs w:val="28"/>
      <w:u w:val="single"/>
    </w:rPr>
  </w:style>
  <w:style w:type="paragraph" w:styleId="Heading5">
    <w:name w:val="heading 5"/>
    <w:basedOn w:val="Normal"/>
    <w:next w:val="FERCparanumber"/>
    <w:qFormat/>
    <w:rsid w:val="000467A1"/>
    <w:pPr>
      <w:keepNext/>
      <w:keepLines/>
      <w:widowControl/>
      <w:numPr>
        <w:ilvl w:val="4"/>
        <w:numId w:val="32"/>
      </w:numPr>
      <w:spacing w:after="260"/>
      <w:outlineLvl w:val="4"/>
    </w:pPr>
    <w:rPr>
      <w:b/>
      <w:bCs/>
      <w:iCs/>
      <w:kern w:val="32"/>
      <w:u w:val="single"/>
    </w:rPr>
  </w:style>
  <w:style w:type="paragraph" w:styleId="Heading6">
    <w:name w:val="heading 6"/>
    <w:basedOn w:val="Normal"/>
    <w:next w:val="FERCparanumber"/>
    <w:qFormat/>
    <w:rsid w:val="000467A1"/>
    <w:pPr>
      <w:keepNext/>
      <w:keepLines/>
      <w:widowControl/>
      <w:numPr>
        <w:ilvl w:val="5"/>
        <w:numId w:val="32"/>
      </w:numPr>
      <w:spacing w:after="260"/>
      <w:outlineLvl w:val="5"/>
    </w:pPr>
    <w:rPr>
      <w:b/>
      <w:bCs/>
      <w:kern w:val="32"/>
      <w:szCs w:val="22"/>
      <w:u w:val="single"/>
    </w:rPr>
  </w:style>
  <w:style w:type="paragraph" w:styleId="Heading7">
    <w:name w:val="heading 7"/>
    <w:basedOn w:val="Normal"/>
    <w:next w:val="FERCparanumber"/>
    <w:qFormat/>
    <w:rsid w:val="000467A1"/>
    <w:pPr>
      <w:keepNext/>
      <w:keepLines/>
      <w:widowControl/>
      <w:numPr>
        <w:ilvl w:val="6"/>
        <w:numId w:val="32"/>
      </w:numPr>
      <w:spacing w:after="260"/>
      <w:outlineLvl w:val="6"/>
    </w:pPr>
    <w:rPr>
      <w:b/>
      <w:kern w:val="32"/>
      <w:u w:val="single"/>
    </w:rPr>
  </w:style>
  <w:style w:type="paragraph" w:styleId="Heading8">
    <w:name w:val="heading 8"/>
    <w:basedOn w:val="Normal"/>
    <w:next w:val="FERCparanumber"/>
    <w:qFormat/>
    <w:rsid w:val="000467A1"/>
    <w:pPr>
      <w:keepNext/>
      <w:keepLines/>
      <w:widowControl/>
      <w:numPr>
        <w:ilvl w:val="7"/>
        <w:numId w:val="32"/>
      </w:numPr>
      <w:spacing w:after="260"/>
      <w:outlineLvl w:val="7"/>
    </w:pPr>
    <w:rPr>
      <w:b/>
      <w:iCs/>
      <w:kern w:val="32"/>
      <w:u w:val="single"/>
    </w:rPr>
  </w:style>
  <w:style w:type="paragraph" w:styleId="Heading9">
    <w:name w:val="heading 9"/>
    <w:basedOn w:val="Normal"/>
    <w:next w:val="FERCparanumber"/>
    <w:qFormat/>
    <w:rsid w:val="000467A1"/>
    <w:pPr>
      <w:keepNext/>
      <w:keepLines/>
      <w:widowControl/>
      <w:numPr>
        <w:ilvl w:val="8"/>
        <w:numId w:val="3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1152"/>
    <w:pPr>
      <w:tabs>
        <w:tab w:val="right" w:pos="8640"/>
      </w:tabs>
      <w:spacing w:after="120"/>
    </w:pPr>
  </w:style>
  <w:style w:type="paragraph" w:styleId="Footer">
    <w:name w:val="footer"/>
    <w:basedOn w:val="Normal"/>
    <w:link w:val="FooterChar"/>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94DF2"/>
    <w:rPr>
      <w:rFonts w:ascii="Tahoma" w:hAnsi="Tahoma" w:cs="Tahoma"/>
      <w:sz w:val="22"/>
      <w:szCs w:val="16"/>
    </w:rPr>
  </w:style>
  <w:style w:type="character" w:customStyle="1" w:styleId="BalloonTextChar">
    <w:name w:val="Balloon Text Char"/>
    <w:basedOn w:val="DefaultParagraphFont"/>
    <w:link w:val="BalloonText"/>
    <w:semiHidden/>
    <w:rsid w:val="00994DF2"/>
    <w:rPr>
      <w:rFonts w:ascii="Tahoma" w:hAnsi="Tahoma" w:cs="Tahoma"/>
      <w:sz w:val="22"/>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character" w:customStyle="1" w:styleId="a">
    <w:basedOn w:val="DefaultParagraphFont"/>
    <w:rsid w:val="00301152"/>
    <w:rPr>
      <w:sz w:val="26"/>
      <w:lang w:bidi="ar-SA"/>
    </w:rPr>
  </w:style>
  <w:style w:type="paragraph" w:customStyle="1" w:styleId="BodyFootnote">
    <w:name w:val="Body Footnote"/>
    <w:basedOn w:val="Normal"/>
    <w:rsid w:val="00B26294"/>
    <w:pPr>
      <w:widowControl/>
      <w:autoSpaceDE/>
      <w:autoSpaceDN/>
      <w:adjustRightInd/>
      <w:spacing w:after="260"/>
      <w:ind w:firstLine="720"/>
    </w:pPr>
    <w:rPr>
      <w:rFonts w:eastAsiaTheme="minorHAnsi" w:cstheme="minorBidi"/>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qFormat/>
    <w:rsid w:val="00103AE2"/>
    <w:pPr>
      <w:widowControl/>
      <w:numPr>
        <w:numId w:val="38"/>
      </w:numPr>
      <w:autoSpaceDE/>
      <w:autoSpaceDN/>
      <w:adjustRightInd/>
      <w:spacing w:after="260"/>
    </w:pPr>
    <w:rPr>
      <w:rFonts w:eastAsiaTheme="minorHAnsi"/>
      <w:szCs w:val="22"/>
    </w:rPr>
  </w:style>
  <w:style w:type="character" w:customStyle="1" w:styleId="a0">
    <w:basedOn w:val="DefaultParagraphFont"/>
    <w:rsid w:val="001A509E"/>
    <w:rPr>
      <w:b/>
      <w:bCs/>
      <w:kern w:val="32"/>
      <w:sz w:val="26"/>
      <w:szCs w:val="32"/>
      <w:u w:val="single"/>
      <w:lang w:bidi="ar-SA"/>
    </w:rPr>
  </w:style>
  <w:style w:type="character" w:customStyle="1" w:styleId="a1">
    <w:basedOn w:val="DefaultParagraphFont"/>
    <w:rsid w:val="001A509E"/>
    <w:rPr>
      <w:b/>
      <w:bCs/>
      <w:iCs/>
      <w:kern w:val="32"/>
      <w:sz w:val="26"/>
      <w:szCs w:val="28"/>
      <w:u w:val="single"/>
      <w:lang w:bidi="ar-SA"/>
    </w:rPr>
  </w:style>
  <w:style w:type="character" w:customStyle="1" w:styleId="a2">
    <w:basedOn w:val="DefaultParagraphFont"/>
    <w:rsid w:val="001A509E"/>
    <w:rPr>
      <w:b/>
      <w:bCs/>
      <w:kern w:val="32"/>
      <w:sz w:val="26"/>
      <w:szCs w:val="26"/>
      <w:u w:val="single"/>
      <w:lang w:bidi="ar-SA"/>
    </w:rPr>
  </w:style>
  <w:style w:type="character" w:customStyle="1" w:styleId="a3">
    <w:basedOn w:val="DefaultParagraphFont"/>
    <w:rsid w:val="001A509E"/>
    <w:rPr>
      <w:b/>
      <w:bCs/>
      <w:kern w:val="32"/>
      <w:sz w:val="26"/>
      <w:szCs w:val="28"/>
      <w:u w:val="single"/>
      <w:lang w:bidi="ar-SA"/>
    </w:rPr>
  </w:style>
  <w:style w:type="character" w:customStyle="1" w:styleId="a4">
    <w:basedOn w:val="DefaultParagraphFont"/>
    <w:rsid w:val="001A509E"/>
    <w:rPr>
      <w:b/>
      <w:bCs/>
      <w:iCs/>
      <w:kern w:val="32"/>
      <w:sz w:val="26"/>
      <w:szCs w:val="26"/>
      <w:u w:val="single"/>
      <w:lang w:bidi="ar-SA"/>
    </w:rPr>
  </w:style>
  <w:style w:type="character" w:customStyle="1" w:styleId="a5">
    <w:basedOn w:val="DefaultParagraphFont"/>
    <w:rsid w:val="001A509E"/>
    <w:rPr>
      <w:b/>
      <w:bCs/>
      <w:kern w:val="32"/>
      <w:sz w:val="26"/>
      <w:szCs w:val="22"/>
      <w:u w:val="single"/>
      <w:lang w:bidi="ar-SA"/>
    </w:rPr>
  </w:style>
  <w:style w:type="character" w:customStyle="1" w:styleId="a6">
    <w:basedOn w:val="DefaultParagraphFont"/>
    <w:rsid w:val="001A509E"/>
    <w:rPr>
      <w:b/>
      <w:kern w:val="32"/>
      <w:sz w:val="26"/>
      <w:szCs w:val="24"/>
      <w:u w:val="single"/>
      <w:lang w:bidi="ar-SA"/>
    </w:rPr>
  </w:style>
  <w:style w:type="character" w:customStyle="1" w:styleId="a7">
    <w:basedOn w:val="DefaultParagraphFont"/>
    <w:rsid w:val="001A509E"/>
    <w:rPr>
      <w:b/>
      <w:iCs/>
      <w:kern w:val="32"/>
      <w:sz w:val="26"/>
      <w:szCs w:val="24"/>
      <w:u w:val="single"/>
      <w:lang w:bidi="ar-SA"/>
    </w:rPr>
  </w:style>
  <w:style w:type="character" w:customStyle="1" w:styleId="a8">
    <w:basedOn w:val="DefaultParagraphFont"/>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E43488"/>
    <w:pPr>
      <w:tabs>
        <w:tab w:val="right" w:leader="dot" w:pos="9360"/>
      </w:tabs>
      <w:spacing w:before="120"/>
    </w:pPr>
  </w:style>
  <w:style w:type="paragraph" w:customStyle="1" w:styleId="myTOC2">
    <w:name w:val="myTOC 2"/>
    <w:basedOn w:val="Normal"/>
    <w:next w:val="Normal"/>
    <w:rsid w:val="00E43488"/>
    <w:pPr>
      <w:tabs>
        <w:tab w:val="right" w:leader="dot" w:pos="9360"/>
      </w:tabs>
      <w:ind w:left="288"/>
    </w:pPr>
  </w:style>
  <w:style w:type="paragraph" w:customStyle="1" w:styleId="myTOC3">
    <w:name w:val="myTOC 3"/>
    <w:basedOn w:val="Normal"/>
    <w:next w:val="Normal"/>
    <w:rsid w:val="009A6DA1"/>
    <w:pPr>
      <w:tabs>
        <w:tab w:val="right" w:leader="dot" w:pos="9360"/>
      </w:tabs>
      <w:ind w:left="576"/>
    </w:pPr>
  </w:style>
  <w:style w:type="paragraph" w:customStyle="1" w:styleId="myTOC4">
    <w:name w:val="myTOC 4"/>
    <w:basedOn w:val="Normal"/>
    <w:next w:val="Normal"/>
    <w:rsid w:val="009A6DA1"/>
    <w:pPr>
      <w:tabs>
        <w:tab w:val="right" w:leader="dot" w:pos="9360"/>
      </w:tabs>
      <w:ind w:left="864"/>
    </w:pPr>
  </w:style>
  <w:style w:type="paragraph" w:customStyle="1" w:styleId="myTOC5">
    <w:name w:val="myTOC 5"/>
    <w:basedOn w:val="Normal"/>
    <w:next w:val="Normal"/>
    <w:rsid w:val="003B6D6F"/>
    <w:pPr>
      <w:tabs>
        <w:tab w:val="right" w:leader="dot" w:pos="9360"/>
      </w:tabs>
      <w:ind w:left="1152"/>
    </w:pPr>
  </w:style>
  <w:style w:type="paragraph" w:customStyle="1" w:styleId="myTOC6">
    <w:name w:val="myTOC 6"/>
    <w:basedOn w:val="Normal"/>
    <w:next w:val="Normal"/>
    <w:rsid w:val="009A6DA1"/>
    <w:pPr>
      <w:widowControl/>
      <w:tabs>
        <w:tab w:val="right" w:leader="dot" w:pos="9360"/>
      </w:tabs>
      <w:autoSpaceDE/>
      <w:autoSpaceDN/>
      <w:adjustRightInd/>
      <w:ind w:left="1440"/>
    </w:pPr>
  </w:style>
  <w:style w:type="paragraph" w:customStyle="1" w:styleId="myTOC7">
    <w:name w:val="myTOC 7"/>
    <w:basedOn w:val="Normal"/>
    <w:next w:val="Normal"/>
    <w:rsid w:val="009A6DA1"/>
    <w:pPr>
      <w:widowControl/>
      <w:tabs>
        <w:tab w:val="right" w:leader="dot" w:pos="9360"/>
      </w:tabs>
      <w:autoSpaceDE/>
      <w:autoSpaceDN/>
      <w:adjustRightInd/>
      <w:ind w:left="1728"/>
    </w:pPr>
  </w:style>
  <w:style w:type="paragraph" w:customStyle="1" w:styleId="myTOC8">
    <w:name w:val="myTOC 8"/>
    <w:basedOn w:val="Normal"/>
    <w:next w:val="Normal"/>
    <w:rsid w:val="009A6DA1"/>
    <w:pPr>
      <w:widowControl/>
      <w:tabs>
        <w:tab w:val="right" w:leader="dot" w:pos="9360"/>
      </w:tabs>
      <w:autoSpaceDE/>
      <w:autoSpaceDN/>
      <w:adjustRightInd/>
      <w:ind w:left="2016"/>
    </w:pPr>
  </w:style>
  <w:style w:type="paragraph" w:customStyle="1" w:styleId="myTOC9">
    <w:name w:val="myTOC 9"/>
    <w:basedOn w:val="Normal"/>
    <w:next w:val="Normal"/>
    <w:rsid w:val="009A6DA1"/>
    <w:pPr>
      <w:widowControl/>
      <w:tabs>
        <w:tab w:val="right" w:leader="dot" w:pos="9360"/>
      </w:tabs>
      <w:autoSpaceDE/>
      <w:autoSpaceDN/>
      <w:adjustRightInd/>
      <w:ind w:left="2304"/>
    </w:pPr>
  </w:style>
  <w:style w:type="paragraph" w:styleId="NoSpacing">
    <w:name w:val="No Spacing"/>
    <w:uiPriority w:val="1"/>
    <w:qFormat/>
    <w:rsid w:val="00301152"/>
    <w:pPr>
      <w:widowControl w:val="0"/>
      <w:autoSpaceDE w:val="0"/>
      <w:autoSpaceDN w:val="0"/>
      <w:adjustRightInd w:val="0"/>
    </w:pPr>
    <w:rPr>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uiPriority w:val="99"/>
    <w:rsid w:val="00723333"/>
    <w:rPr>
      <w:sz w:val="26"/>
      <w:szCs w:val="24"/>
      <w:lang w:bidi="ar-SA"/>
    </w:rPr>
  </w:style>
  <w:style w:type="character" w:customStyle="1" w:styleId="a9">
    <w:basedOn w:val="DefaultParagraphFont"/>
    <w:uiPriority w:val="99"/>
    <w:rsid w:val="00723333"/>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style>
  <w:style w:type="character" w:customStyle="1" w:styleId="aa">
    <w:basedOn w:val="DefaultParagraphFont"/>
    <w:rsid w:val="0005260D"/>
    <w:rPr>
      <w:b/>
      <w:bCs/>
      <w:kern w:val="32"/>
      <w:sz w:val="26"/>
      <w:szCs w:val="32"/>
      <w:u w:val="single"/>
      <w:lang w:bidi="ar-SA"/>
    </w:rPr>
  </w:style>
  <w:style w:type="character" w:customStyle="1" w:styleId="Heading1Char">
    <w:name w:val="Heading 1 Char"/>
    <w:basedOn w:val="DefaultParagraphFont"/>
    <w:link w:val="Heading1"/>
    <w:rsid w:val="00563982"/>
    <w:rPr>
      <w:b/>
      <w:bCs/>
      <w:kern w:val="32"/>
      <w:szCs w:val="32"/>
      <w:u w:val="single"/>
    </w:rPr>
  </w:style>
  <w:style w:type="character" w:customStyle="1" w:styleId="FooterChar">
    <w:name w:val="Footer Char"/>
    <w:basedOn w:val="DefaultParagraphFont"/>
    <w:link w:val="Footer"/>
    <w:rsid w:val="00D55555"/>
    <w:rPr>
      <w:sz w:val="26"/>
      <w:szCs w:val="24"/>
      <w:lang w:bidi="ar-SA"/>
    </w:rPr>
  </w:style>
  <w:style w:type="character" w:customStyle="1" w:styleId="apple-converted-space">
    <w:name w:val="apple-converted-space"/>
    <w:basedOn w:val="DefaultParagraphFont"/>
    <w:rsid w:val="00DB52C9"/>
  </w:style>
  <w:style w:type="character" w:customStyle="1" w:styleId="FERCparanumberChar">
    <w:name w:val="FERC paranumber Char"/>
    <w:basedOn w:val="DefaultParagraphFont"/>
    <w:link w:val="FERCparanumber"/>
    <w:rsid w:val="00103AE2"/>
    <w:rPr>
      <w:rFonts w:eastAsiaTheme="minorHAnsi"/>
      <w:sz w:val="26"/>
      <w:szCs w:val="22"/>
      <w:lang w:bidi="ar-SA"/>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nhideWhenUsed/>
    <w:qFormat/>
    <w:rsid w:val="000467A1"/>
    <w:pPr>
      <w:spacing w:after="260"/>
      <w:ind w:firstLine="720"/>
    </w:pPr>
    <w:rPr>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0467A1"/>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nhideWhenUsed/>
    <w:qFormat/>
    <w:rsid w:val="000467A1"/>
    <w:rPr>
      <w:rFonts w:ascii="Times New Roman" w:hAnsi="Times New Roman" w:cs="Times New Roman"/>
      <w:b/>
      <w:sz w:val="26"/>
      <w:vertAlign w:val="superscript"/>
    </w:rPr>
  </w:style>
  <w:style w:type="character" w:styleId="CommentReference">
    <w:name w:val="annotation reference"/>
    <w:basedOn w:val="DefaultParagraphFont"/>
    <w:uiPriority w:val="99"/>
    <w:semiHidden/>
    <w:unhideWhenUsed/>
    <w:rsid w:val="000467A1"/>
    <w:rPr>
      <w:sz w:val="16"/>
      <w:szCs w:val="16"/>
    </w:rPr>
  </w:style>
  <w:style w:type="paragraph" w:styleId="Revision">
    <w:name w:val="Revision"/>
    <w:hidden/>
    <w:uiPriority w:val="99"/>
    <w:semiHidden/>
    <w:rsid w:val="00F075A5"/>
    <w:rPr>
      <w:szCs w:val="24"/>
      <w:lang w:bidi="ar-SA"/>
    </w:rPr>
  </w:style>
  <w:style w:type="character" w:styleId="FollowedHyperlink">
    <w:name w:val="FollowedHyperlink"/>
    <w:basedOn w:val="DefaultParagraphFont"/>
    <w:uiPriority w:val="99"/>
    <w:semiHidden/>
    <w:unhideWhenUsed/>
    <w:rsid w:val="00597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49610">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ferc.gov/docs-filing/elibrary/accept-file-formats.asp" TargetMode="External"/><Relationship Id="rId3" Type="http://schemas.openxmlformats.org/officeDocument/2006/relationships/customXml" Target="../customXml/item3.xml"/><Relationship Id="rId21" Type="http://schemas.openxmlformats.org/officeDocument/2006/relationships/hyperlink" Target="http://www.ferc.gov/about/infographic-efile.pdf" TargetMode="External"/><Relationship Id="rId7" Type="http://schemas.openxmlformats.org/officeDocument/2006/relationships/styles" Target="styles.xml"/><Relationship Id="rId12" Type="http://schemas.openxmlformats.org/officeDocument/2006/relationships/hyperlink" Target="http://www.ferc.gov/docs-filing/elibrary/accept-file-formats.asp" TargetMode="External"/><Relationship Id="rId17" Type="http://schemas.openxmlformats.org/officeDocument/2006/relationships/hyperlink" Target="http://www.ferc.gov/docs-filing/company-reg.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erc.gov/docs-filing/eregistration.asp" TargetMode="External"/><Relationship Id="rId20" Type="http://schemas.openxmlformats.org/officeDocument/2006/relationships/hyperlink" Target="https://naesb.org//etariff_vendors.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ferc.gov/docs-filing/etariff.asp" TargetMode="External"/><Relationship Id="rId10" Type="http://schemas.openxmlformats.org/officeDocument/2006/relationships/footnotes" Target="footnotes.xml"/><Relationship Id="rId19" Type="http://schemas.openxmlformats.org/officeDocument/2006/relationships/hyperlink" Target="http://www.ferc.gov/docs-filing/etariff/implementation-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ferc.gov/CalendarFiles/20170215091558-SettlementFilingProcedur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erc.gov/industries/industries.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dferc\dfs\PIA\Office_Templates\OALJ\ALJ%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C88C-0F5A-421D-ABAF-AE4127C00AF6}">
  <ds:schemaRefs>
    <ds:schemaRef ds:uri="http://schemas.microsoft.com/sharepoint/v3/contenttype/forms"/>
  </ds:schemaRefs>
</ds:datastoreItem>
</file>

<file path=customXml/itemProps2.xml><?xml version="1.0" encoding="utf-8"?>
<ds:datastoreItem xmlns:ds="http://schemas.openxmlformats.org/officeDocument/2006/customXml" ds:itemID="{97101019-C9D1-4949-B517-CF06FB43902E}">
  <ds:schemaRefs>
    <ds:schemaRef ds:uri="Microsoft.SharePoint.Taxonomy.ContentTypeSync"/>
  </ds:schemaRefs>
</ds:datastoreItem>
</file>

<file path=customXml/itemProps3.xml><?xml version="1.0" encoding="utf-8"?>
<ds:datastoreItem xmlns:ds="http://schemas.openxmlformats.org/officeDocument/2006/customXml" ds:itemID="{964F91D6-FA9C-4DDD-93C9-3AE2DA41431D}">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49669D70-FBE1-4A85-8862-0DA80821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FD66C0-DFA1-48E0-B8B5-B56109B0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ALJ Template</Template>
  <TotalTime>1</TotalTime>
  <Pages>1</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Notice to the Public Re Rule 602</vt:lpstr>
    </vt:vector>
  </TitlesOfParts>
  <Company>Federal Energy Regulatory Commission</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the Public Re Rule 602</dc:title>
  <dc:creator>Andrew Satten</dc:creator>
  <cp:lastModifiedBy>Martha Altamar</cp:lastModifiedBy>
  <cp:revision>2</cp:revision>
  <cp:lastPrinted>2017-10-13T18:23:00Z</cp:lastPrinted>
  <dcterms:created xsi:type="dcterms:W3CDTF">2017-10-13T18:23:00Z</dcterms:created>
  <dcterms:modified xsi:type="dcterms:W3CDTF">2017-10-13T18:23:00Z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y fmtid="{D5CDD505-2E9C-101B-9397-08002B2CF9AE}" pid="3" name="TemplateUrl">
    <vt:lpwstr/>
  </property>
  <property fmtid="{D5CDD505-2E9C-101B-9397-08002B2CF9AE}" pid="4" name="Order">
    <vt:r8>211600</vt:r8>
  </property>
  <property fmtid="{D5CDD505-2E9C-101B-9397-08002B2CF9AE}" pid="5" name="xd_ProgID">
    <vt:lpwstr/>
  </property>
</Properties>
</file>