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CC923" w14:textId="77777777" w:rsidR="000C751C" w:rsidRDefault="000C751C" w:rsidP="005110AF">
      <w:pPr>
        <w:jc w:val="center"/>
        <w:outlineLvl w:val="0"/>
      </w:pPr>
      <w:bookmarkStart w:id="0" w:name="_GoBack"/>
      <w:bookmarkEnd w:id="0"/>
    </w:p>
    <w:p w14:paraId="5CCCC924" w14:textId="77777777" w:rsidR="000C751C" w:rsidRDefault="000C751C" w:rsidP="005110AF">
      <w:pPr>
        <w:jc w:val="center"/>
        <w:outlineLvl w:val="0"/>
      </w:pPr>
      <w:r w:rsidRPr="00C10EF5">
        <w:t>UNITED</w:t>
      </w:r>
      <w:r>
        <w:t xml:space="preserve"> STATES OF AMERICA</w:t>
      </w:r>
    </w:p>
    <w:p w14:paraId="5CCCC925" w14:textId="77777777" w:rsidR="000C751C" w:rsidRDefault="000C751C" w:rsidP="005110AF">
      <w:pPr>
        <w:jc w:val="center"/>
      </w:pPr>
      <w:r>
        <w:t>FEDERAL ENERGY REGULATORY COMMISSION</w:t>
      </w:r>
    </w:p>
    <w:p w14:paraId="5CCCC926" w14:textId="77777777" w:rsidR="000C751C" w:rsidRDefault="000C751C" w:rsidP="005110AF"/>
    <w:p w14:paraId="5CCCC927" w14:textId="77777777" w:rsidR="000C751C" w:rsidRDefault="000C751C" w:rsidP="0095407D"/>
    <w:p w14:paraId="5CCCC928" w14:textId="77777777" w:rsidR="000C751C" w:rsidRDefault="000C751C" w:rsidP="000C751C">
      <w:pPr>
        <w:jc w:val="center"/>
        <w:outlineLvl w:val="0"/>
      </w:pPr>
      <w:r>
        <w:t>NOTICE TO THE PUBLIC</w:t>
      </w:r>
    </w:p>
    <w:p w14:paraId="5CCCC929" w14:textId="77777777" w:rsidR="000C751C" w:rsidRDefault="000C751C" w:rsidP="000C751C">
      <w:pPr>
        <w:jc w:val="center"/>
        <w:outlineLvl w:val="0"/>
      </w:pPr>
    </w:p>
    <w:p w14:paraId="5CCCC92A" w14:textId="77777777" w:rsidR="000C751C" w:rsidRDefault="000C751C" w:rsidP="000C751C">
      <w:pPr>
        <w:jc w:val="center"/>
      </w:pPr>
      <w:r>
        <w:t>ADDITIONAL ETARIFF TYPE OF FILING CODE</w:t>
      </w:r>
      <w:r w:rsidR="001E4699">
        <w:t xml:space="preserve"> (TOFC)</w:t>
      </w:r>
      <w:r>
        <w:t xml:space="preserve"> FOR</w:t>
      </w:r>
      <w:r w:rsidR="00026067">
        <w:t xml:space="preserve"> MODIFICATIONS TO PENDING RULE 602 SETTLEMENT FILINGS</w:t>
      </w:r>
      <w:r>
        <w:t xml:space="preserve"> </w:t>
      </w:r>
    </w:p>
    <w:p w14:paraId="5CCCC92B" w14:textId="77777777" w:rsidR="000C751C" w:rsidRDefault="000C751C" w:rsidP="000C751C">
      <w:pPr>
        <w:jc w:val="center"/>
      </w:pPr>
      <w:r>
        <w:t xml:space="preserve"> </w:t>
      </w:r>
    </w:p>
    <w:p w14:paraId="5CCCC92C" w14:textId="71584D55" w:rsidR="000C751C" w:rsidRDefault="000C751C" w:rsidP="00F76B72">
      <w:pPr>
        <w:jc w:val="center"/>
      </w:pPr>
      <w:r>
        <w:t xml:space="preserve">(Issued </w:t>
      </w:r>
      <w:r>
        <w:fldChar w:fldCharType="begin"/>
      </w:r>
      <w:r>
        <w:instrText xml:space="preserve"> MACROBUTTON  AcceptAllChangesInDoc </w:instrText>
      </w:r>
      <w:r>
        <w:fldChar w:fldCharType="end"/>
      </w:r>
      <w:r w:rsidR="003D1CEB">
        <w:t>April 19</w:t>
      </w:r>
      <w:r>
        <w:t>, 2018)</w:t>
      </w:r>
    </w:p>
    <w:p w14:paraId="5CCCC92D" w14:textId="77777777" w:rsidR="00F76B72" w:rsidRPr="00EE3B5B" w:rsidRDefault="00F76B72" w:rsidP="00F76B72">
      <w:pPr>
        <w:jc w:val="center"/>
      </w:pPr>
    </w:p>
    <w:p w14:paraId="5CCCC92E" w14:textId="77777777" w:rsidR="000C751C" w:rsidRDefault="000C751C" w:rsidP="005110AF">
      <w:pPr>
        <w:pStyle w:val="FERCparanumber"/>
      </w:pPr>
      <w:r>
        <w:t>As required by previous</w:t>
      </w:r>
      <w:r w:rsidR="0078400D">
        <w:t xml:space="preserve"> public</w:t>
      </w:r>
      <w:r>
        <w:t xml:space="preserve"> notices,</w:t>
      </w:r>
      <w:r w:rsidR="0078400D">
        <w:rPr>
          <w:rStyle w:val="FootnoteReference"/>
        </w:rPr>
        <w:footnoteReference w:id="2"/>
      </w:r>
      <w:r>
        <w:t xml:space="preserve"> a</w:t>
      </w:r>
      <w:r w:rsidRPr="003249DD">
        <w:t>ll Rule 602</w:t>
      </w:r>
      <w:r>
        <w:rPr>
          <w:rStyle w:val="FootnoteReference"/>
        </w:rPr>
        <w:footnoteReference w:id="3"/>
      </w:r>
      <w:r w:rsidRPr="003249DD">
        <w:t xml:space="preserve"> settlements</w:t>
      </w:r>
      <w:r>
        <w:t xml:space="preserve"> and related interim rate filings</w:t>
      </w:r>
      <w:r w:rsidRPr="003249DD">
        <w:t xml:space="preserve"> in proceedings under Parts 35, 154, 284, 300</w:t>
      </w:r>
      <w:r>
        <w:t>,</w:t>
      </w:r>
      <w:r w:rsidRPr="003249DD">
        <w:t xml:space="preserve"> and 341 of the Commission’s regulations must be </w:t>
      </w:r>
      <w:proofErr w:type="spellStart"/>
      <w:r>
        <w:t>eFiled</w:t>
      </w:r>
      <w:proofErr w:type="spellEnd"/>
      <w:r>
        <w:t xml:space="preserve"> in </w:t>
      </w:r>
      <w:proofErr w:type="spellStart"/>
      <w:r>
        <w:t>eTariff</w:t>
      </w:r>
      <w:proofErr w:type="spellEnd"/>
      <w:r>
        <w:t xml:space="preserve"> format</w:t>
      </w:r>
      <w:r w:rsidRPr="003249DD">
        <w:t>.</w:t>
      </w:r>
      <w:r>
        <w:t xml:space="preserve">  When a settlement and related interim rate filings are submitted in </w:t>
      </w:r>
      <w:proofErr w:type="spellStart"/>
      <w:r>
        <w:t>eTariff</w:t>
      </w:r>
      <w:proofErr w:type="spellEnd"/>
      <w:r>
        <w:t xml:space="preserve"> format, the filer is required to identify the specific type of filing by using </w:t>
      </w:r>
      <w:r w:rsidR="00AA05D9">
        <w:t xml:space="preserve">the appropriate </w:t>
      </w:r>
      <w:proofErr w:type="spellStart"/>
      <w:r w:rsidR="00AA05D9">
        <w:t>eTariff</w:t>
      </w:r>
      <w:proofErr w:type="spellEnd"/>
      <w:r w:rsidR="00AA05D9">
        <w:t xml:space="preserve"> </w:t>
      </w:r>
      <w:r>
        <w:t>Type of Filing Code (TOFC).</w:t>
      </w:r>
      <w:r w:rsidR="00AA05D9">
        <w:rPr>
          <w:rStyle w:val="FootnoteReference"/>
        </w:rPr>
        <w:footnoteReference w:id="4"/>
      </w:r>
    </w:p>
    <w:p w14:paraId="42432B67" w14:textId="1DE7F449" w:rsidR="000E45F7" w:rsidRDefault="000C751C" w:rsidP="00D91251">
      <w:pPr>
        <w:pStyle w:val="FERCparanumber"/>
      </w:pPr>
      <w:r>
        <w:t xml:space="preserve">This Notice </w:t>
      </w:r>
      <w:r w:rsidR="00644A73">
        <w:t xml:space="preserve">serves to add new </w:t>
      </w:r>
      <w:r w:rsidR="004F6DC4">
        <w:t xml:space="preserve">Report </w:t>
      </w:r>
      <w:r w:rsidR="00644A73">
        <w:t>TOFC</w:t>
      </w:r>
      <w:r w:rsidR="00AA05D9">
        <w:t>s</w:t>
      </w:r>
      <w:r w:rsidR="00644A73">
        <w:t xml:space="preserve">, which must be used when filing </w:t>
      </w:r>
      <w:r w:rsidR="00026067">
        <w:t>modifications to a previously filed and pending Rule 602 settlement filing</w:t>
      </w:r>
      <w:r w:rsidR="00EE7F19">
        <w:t xml:space="preserve"> when such modification does not involve a revision to a tariff provision</w:t>
      </w:r>
      <w:r w:rsidR="00026067">
        <w:t>.  Such modifications include supplements, revisions, or corrections</w:t>
      </w:r>
      <w:r w:rsidR="00A66C16">
        <w:t xml:space="preserve"> to the settlement</w:t>
      </w:r>
      <w:r w:rsidR="004F6DC4">
        <w:t xml:space="preserve"> document</w:t>
      </w:r>
      <w:r w:rsidR="00026067">
        <w:t xml:space="preserve">, regardless of whether they are substantive </w:t>
      </w:r>
      <w:r w:rsidR="00026067">
        <w:lastRenderedPageBreak/>
        <w:t>or ministerial.</w:t>
      </w:r>
      <w:r w:rsidR="004F6DC4">
        <w:t xml:space="preserve">  Changes that involve changes to tariff provisions must be filed using the </w:t>
      </w:r>
      <w:r w:rsidR="00B32B2B">
        <w:t>C</w:t>
      </w:r>
      <w:r w:rsidR="004F6DC4">
        <w:t xml:space="preserve">ompliance codes.  </w:t>
      </w:r>
      <w:r w:rsidR="00B32B2B">
        <w:t xml:space="preserve">Filers must </w:t>
      </w:r>
      <w:r w:rsidR="00D91251" w:rsidRPr="00D91251">
        <w:t>use the Associated Filing Identifier of the initial Set</w:t>
      </w:r>
      <w:r w:rsidR="00677CA5">
        <w:t xml:space="preserve">tlement </w:t>
      </w:r>
      <w:proofErr w:type="spellStart"/>
      <w:r w:rsidR="00677CA5">
        <w:t>eTariff</w:t>
      </w:r>
      <w:proofErr w:type="spellEnd"/>
      <w:r w:rsidR="00677CA5">
        <w:t xml:space="preserve"> filing to ensure</w:t>
      </w:r>
      <w:r w:rsidR="00D91251" w:rsidRPr="00D91251">
        <w:t xml:space="preserve"> that </w:t>
      </w:r>
      <w:r w:rsidR="00D91251">
        <w:t>the filing will be placed in the same docket as the settleme</w:t>
      </w:r>
      <w:r w:rsidR="008E0D4A">
        <w:t>nt</w:t>
      </w:r>
      <w:r w:rsidR="000E45F7">
        <w:t>.</w:t>
      </w:r>
    </w:p>
    <w:p w14:paraId="5CCCC92F" w14:textId="520B3D9E" w:rsidR="00026067" w:rsidRDefault="00AE66D6" w:rsidP="00D91251">
      <w:pPr>
        <w:pStyle w:val="FERCparanumber"/>
      </w:pPr>
      <w:r>
        <w:t>In making the filings</w:t>
      </w:r>
      <w:r w:rsidR="00970D3F">
        <w:t xml:space="preserve"> to modify the settlement document, </w:t>
      </w:r>
      <w:r w:rsidR="00413272">
        <w:t>the filing must indicate</w:t>
      </w:r>
      <w:r w:rsidR="00F76B72">
        <w:t xml:space="preserve"> whether the participants request that the Rule 602 period for comments and reply </w:t>
      </w:r>
      <w:proofErr w:type="gramStart"/>
      <w:r w:rsidR="00F76B72">
        <w:t>comments</w:t>
      </w:r>
      <w:proofErr w:type="gramEnd"/>
      <w:r w:rsidR="00F76B72">
        <w:t xml:space="preserve"> run from the date of the original filing or the date of the modified filing.</w:t>
      </w:r>
      <w:r w:rsidR="00413272">
        <w:t xml:space="preserve">  </w:t>
      </w:r>
    </w:p>
    <w:p w14:paraId="42F7CDD0" w14:textId="18AA7262" w:rsidR="00031C3A" w:rsidRDefault="00031C3A" w:rsidP="00D91251">
      <w:pPr>
        <w:pStyle w:val="FERCparanumber"/>
      </w:pPr>
      <w:r>
        <w:t xml:space="preserve">These requirements </w:t>
      </w:r>
      <w:r w:rsidR="00136C66">
        <w:t>are mandatory</w:t>
      </w:r>
      <w:r w:rsidR="00471548">
        <w:t xml:space="preserve"> effective May 1, 2018.</w:t>
      </w:r>
    </w:p>
    <w:p w14:paraId="5CCCC930" w14:textId="77777777" w:rsidR="0078400D" w:rsidRDefault="0078400D" w:rsidP="005110AF">
      <w:pPr>
        <w:pStyle w:val="FERCparanumber"/>
      </w:pPr>
      <w:r>
        <w:t>With th</w:t>
      </w:r>
      <w:r w:rsidR="00AA05D9">
        <w:t>ese</w:t>
      </w:r>
      <w:r w:rsidR="001E4699">
        <w:t xml:space="preserve"> TOFC</w:t>
      </w:r>
      <w:r w:rsidR="00AA05D9">
        <w:t>s</w:t>
      </w:r>
      <w:r>
        <w:t xml:space="preserve"> addition</w:t>
      </w:r>
      <w:r w:rsidR="00AA05D9">
        <w:t>s</w:t>
      </w:r>
      <w:r>
        <w:t>, the comprehensive list of relevant TOFCs for Rule 602 settlement filings 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2386"/>
        <w:gridCol w:w="4320"/>
        <w:gridCol w:w="1705"/>
      </w:tblGrid>
      <w:tr w:rsidR="00AA05D9" w:rsidRPr="003249DD" w14:paraId="5CCCC935" w14:textId="77777777" w:rsidTr="00AA05D9">
        <w:trPr>
          <w:cantSplit/>
          <w:tblHeader/>
          <w:jc w:val="center"/>
        </w:trPr>
        <w:tc>
          <w:tcPr>
            <w:tcW w:w="939" w:type="dxa"/>
            <w:shd w:val="clear" w:color="auto" w:fill="auto"/>
          </w:tcPr>
          <w:p w14:paraId="5CCCC931" w14:textId="77777777" w:rsidR="00AA05D9" w:rsidRPr="00CA3C20" w:rsidRDefault="00AA05D9" w:rsidP="00AA05D9">
            <w:pPr>
              <w:jc w:val="center"/>
              <w:rPr>
                <w:b/>
              </w:rPr>
            </w:pPr>
            <w:r w:rsidRPr="00CA3C20">
              <w:rPr>
                <w:b/>
              </w:rPr>
              <w:t>TOFC</w:t>
            </w:r>
          </w:p>
        </w:tc>
        <w:tc>
          <w:tcPr>
            <w:tcW w:w="2386" w:type="dxa"/>
            <w:shd w:val="clear" w:color="auto" w:fill="auto"/>
          </w:tcPr>
          <w:p w14:paraId="5CCCC932" w14:textId="77777777" w:rsidR="00AA05D9" w:rsidRPr="00CA3C20" w:rsidRDefault="00AA05D9" w:rsidP="00AA05D9">
            <w:pPr>
              <w:jc w:val="center"/>
              <w:rPr>
                <w:b/>
              </w:rPr>
            </w:pPr>
            <w:r w:rsidRPr="00CA3C20">
              <w:rPr>
                <w:b/>
              </w:rPr>
              <w:t>Description</w:t>
            </w:r>
          </w:p>
        </w:tc>
        <w:tc>
          <w:tcPr>
            <w:tcW w:w="4320" w:type="dxa"/>
          </w:tcPr>
          <w:p w14:paraId="5CCCC933" w14:textId="77777777" w:rsidR="00AA05D9" w:rsidRPr="00CA3C20" w:rsidRDefault="00AA05D9" w:rsidP="00AA05D9">
            <w:pPr>
              <w:jc w:val="center"/>
              <w:rPr>
                <w:b/>
              </w:rPr>
            </w:pPr>
            <w:r>
              <w:rPr>
                <w:b/>
              </w:rPr>
              <w:t>Program</w:t>
            </w:r>
          </w:p>
        </w:tc>
        <w:tc>
          <w:tcPr>
            <w:tcW w:w="1705" w:type="dxa"/>
          </w:tcPr>
          <w:p w14:paraId="5CCCC934" w14:textId="77777777" w:rsidR="00AA05D9" w:rsidRDefault="00AA05D9" w:rsidP="00AA05D9">
            <w:pPr>
              <w:jc w:val="center"/>
              <w:rPr>
                <w:b/>
              </w:rPr>
            </w:pPr>
            <w:r>
              <w:rPr>
                <w:b/>
              </w:rPr>
              <w:t>Category</w:t>
            </w:r>
          </w:p>
        </w:tc>
      </w:tr>
      <w:tr w:rsidR="00AA05D9" w:rsidRPr="003249DD" w14:paraId="5CCCC93A" w14:textId="77777777" w:rsidTr="00AA05D9">
        <w:trPr>
          <w:jc w:val="center"/>
        </w:trPr>
        <w:tc>
          <w:tcPr>
            <w:tcW w:w="939" w:type="dxa"/>
            <w:shd w:val="clear" w:color="auto" w:fill="auto"/>
          </w:tcPr>
          <w:p w14:paraId="5CCCC936" w14:textId="77777777" w:rsidR="00AA05D9" w:rsidRPr="00CA3C20" w:rsidRDefault="00AA05D9" w:rsidP="00DC18D4">
            <w:r w:rsidRPr="00CA3C20">
              <w:t>1380</w:t>
            </w:r>
          </w:p>
        </w:tc>
        <w:tc>
          <w:tcPr>
            <w:tcW w:w="2386" w:type="dxa"/>
            <w:shd w:val="clear" w:color="auto" w:fill="auto"/>
          </w:tcPr>
          <w:p w14:paraId="5CCCC937" w14:textId="77777777" w:rsidR="00AA05D9" w:rsidRPr="00CA3C20" w:rsidRDefault="00AA05D9" w:rsidP="00DC18D4">
            <w:r>
              <w:t>ALJ Settlement</w:t>
            </w:r>
          </w:p>
        </w:tc>
        <w:tc>
          <w:tcPr>
            <w:tcW w:w="4320" w:type="dxa"/>
          </w:tcPr>
          <w:p w14:paraId="5CCCC938" w14:textId="77777777" w:rsidR="00AA05D9" w:rsidRPr="00CA3C20" w:rsidRDefault="00AA05D9" w:rsidP="00DC18D4">
            <w:r>
              <w:t>E (</w:t>
            </w:r>
            <w:r w:rsidRPr="00CA3C20">
              <w:t>Part 35 FPA Traditional Cost of Service and Market Based Rate Program</w:t>
            </w:r>
          </w:p>
        </w:tc>
        <w:tc>
          <w:tcPr>
            <w:tcW w:w="1705" w:type="dxa"/>
          </w:tcPr>
          <w:p w14:paraId="5CCCC939" w14:textId="77777777" w:rsidR="00AA05D9" w:rsidRDefault="00AA05D9" w:rsidP="00DC18D4">
            <w:r>
              <w:t>Compliance</w:t>
            </w:r>
          </w:p>
        </w:tc>
      </w:tr>
      <w:tr w:rsidR="00AA05D9" w:rsidRPr="003249DD" w14:paraId="5CCCC93F" w14:textId="77777777" w:rsidTr="00AA05D9">
        <w:trPr>
          <w:jc w:val="center"/>
        </w:trPr>
        <w:tc>
          <w:tcPr>
            <w:tcW w:w="939" w:type="dxa"/>
            <w:shd w:val="clear" w:color="auto" w:fill="auto"/>
          </w:tcPr>
          <w:p w14:paraId="5CCCC93B" w14:textId="77777777" w:rsidR="00AA05D9" w:rsidRPr="00CA3C20" w:rsidRDefault="00AA05D9" w:rsidP="00DC18D4">
            <w:r w:rsidRPr="00CA3C20">
              <w:t>1390</w:t>
            </w:r>
          </w:p>
        </w:tc>
        <w:tc>
          <w:tcPr>
            <w:tcW w:w="2386" w:type="dxa"/>
            <w:shd w:val="clear" w:color="auto" w:fill="auto"/>
          </w:tcPr>
          <w:p w14:paraId="5CCCC93C" w14:textId="77777777" w:rsidR="00AA05D9" w:rsidRPr="00CA3C20" w:rsidRDefault="00AA05D9" w:rsidP="00DC18D4">
            <w:r>
              <w:t>ALJ Settlement</w:t>
            </w:r>
          </w:p>
        </w:tc>
        <w:tc>
          <w:tcPr>
            <w:tcW w:w="4320" w:type="dxa"/>
          </w:tcPr>
          <w:p w14:paraId="5CCCC93D" w14:textId="77777777" w:rsidR="00AA05D9" w:rsidRPr="00CA3C20" w:rsidRDefault="00AA05D9" w:rsidP="00DC18D4">
            <w:r>
              <w:t>M (</w:t>
            </w:r>
            <w:r w:rsidRPr="00CA3C20">
              <w:t>Part 35 FPA Market Based Rate Program</w:t>
            </w:r>
            <w:r>
              <w:t>)</w:t>
            </w:r>
          </w:p>
        </w:tc>
        <w:tc>
          <w:tcPr>
            <w:tcW w:w="1705" w:type="dxa"/>
          </w:tcPr>
          <w:p w14:paraId="5CCCC93E" w14:textId="77777777" w:rsidR="00AA05D9" w:rsidRDefault="00AA05D9" w:rsidP="00DC18D4">
            <w:r>
              <w:t>Compliance</w:t>
            </w:r>
          </w:p>
        </w:tc>
      </w:tr>
      <w:tr w:rsidR="00AA05D9" w:rsidRPr="003249DD" w14:paraId="5CCCC944" w14:textId="77777777" w:rsidTr="00AA05D9">
        <w:trPr>
          <w:jc w:val="center"/>
        </w:trPr>
        <w:tc>
          <w:tcPr>
            <w:tcW w:w="939" w:type="dxa"/>
            <w:shd w:val="clear" w:color="auto" w:fill="auto"/>
          </w:tcPr>
          <w:p w14:paraId="5CCCC940" w14:textId="77777777" w:rsidR="00AA05D9" w:rsidRPr="00CA3C20" w:rsidRDefault="00AA05D9" w:rsidP="00DC18D4">
            <w:r w:rsidRPr="00CA3C20">
              <w:t>1400</w:t>
            </w:r>
          </w:p>
        </w:tc>
        <w:tc>
          <w:tcPr>
            <w:tcW w:w="2386" w:type="dxa"/>
            <w:shd w:val="clear" w:color="auto" w:fill="auto"/>
          </w:tcPr>
          <w:p w14:paraId="5CCCC941" w14:textId="77777777" w:rsidR="00AA05D9" w:rsidRPr="00CA3C20" w:rsidRDefault="00AA05D9" w:rsidP="00DC18D4">
            <w:r>
              <w:t>ALJ Settlement</w:t>
            </w:r>
          </w:p>
        </w:tc>
        <w:tc>
          <w:tcPr>
            <w:tcW w:w="4320" w:type="dxa"/>
          </w:tcPr>
          <w:p w14:paraId="5CCCC942" w14:textId="77777777" w:rsidR="00AA05D9" w:rsidRPr="00CA3C20" w:rsidRDefault="00AA05D9" w:rsidP="00DC18D4">
            <w:r>
              <w:t>G (</w:t>
            </w:r>
            <w:r w:rsidRPr="00CA3C20">
              <w:t>Part 154 NGA Gas Pipelines Program</w:t>
            </w:r>
            <w:r>
              <w:t>)</w:t>
            </w:r>
          </w:p>
        </w:tc>
        <w:tc>
          <w:tcPr>
            <w:tcW w:w="1705" w:type="dxa"/>
          </w:tcPr>
          <w:p w14:paraId="5CCCC943" w14:textId="77777777" w:rsidR="00AA05D9" w:rsidRDefault="00AA05D9" w:rsidP="00DC18D4">
            <w:r>
              <w:t>Compliance</w:t>
            </w:r>
          </w:p>
        </w:tc>
      </w:tr>
      <w:tr w:rsidR="00AA05D9" w:rsidRPr="003249DD" w14:paraId="5CCCC949" w14:textId="77777777" w:rsidTr="00AA05D9">
        <w:trPr>
          <w:jc w:val="center"/>
        </w:trPr>
        <w:tc>
          <w:tcPr>
            <w:tcW w:w="939" w:type="dxa"/>
            <w:shd w:val="clear" w:color="auto" w:fill="auto"/>
          </w:tcPr>
          <w:p w14:paraId="5CCCC945" w14:textId="77777777" w:rsidR="00AA05D9" w:rsidRPr="00CA3C20" w:rsidRDefault="00AA05D9" w:rsidP="00DC18D4">
            <w:r w:rsidRPr="00CA3C20">
              <w:t>1410</w:t>
            </w:r>
          </w:p>
        </w:tc>
        <w:tc>
          <w:tcPr>
            <w:tcW w:w="2386" w:type="dxa"/>
            <w:shd w:val="clear" w:color="auto" w:fill="auto"/>
          </w:tcPr>
          <w:p w14:paraId="5CCCC946" w14:textId="77777777" w:rsidR="00AA05D9" w:rsidRPr="00CA3C20" w:rsidRDefault="00AA05D9" w:rsidP="00DC18D4">
            <w:r>
              <w:t>ALJ Settlement</w:t>
            </w:r>
          </w:p>
        </w:tc>
        <w:tc>
          <w:tcPr>
            <w:tcW w:w="4320" w:type="dxa"/>
          </w:tcPr>
          <w:p w14:paraId="5CCCC947" w14:textId="77777777" w:rsidR="00AA05D9" w:rsidRPr="00CA3C20" w:rsidRDefault="00AA05D9" w:rsidP="00DC18D4">
            <w:r>
              <w:t>K (</w:t>
            </w:r>
            <w:r w:rsidRPr="00CA3C20">
              <w:t>Part 284 NGPA 311 Gas Pipelines Program</w:t>
            </w:r>
            <w:r>
              <w:t>)</w:t>
            </w:r>
          </w:p>
        </w:tc>
        <w:tc>
          <w:tcPr>
            <w:tcW w:w="1705" w:type="dxa"/>
          </w:tcPr>
          <w:p w14:paraId="5CCCC948" w14:textId="77777777" w:rsidR="00AA05D9" w:rsidRDefault="00AA05D9" w:rsidP="00DC18D4">
            <w:r>
              <w:t>Compliance</w:t>
            </w:r>
          </w:p>
        </w:tc>
      </w:tr>
      <w:tr w:rsidR="00AA05D9" w:rsidRPr="003249DD" w14:paraId="5CCCC94E" w14:textId="77777777" w:rsidTr="00AA05D9">
        <w:trPr>
          <w:jc w:val="center"/>
        </w:trPr>
        <w:tc>
          <w:tcPr>
            <w:tcW w:w="939" w:type="dxa"/>
            <w:shd w:val="clear" w:color="auto" w:fill="auto"/>
          </w:tcPr>
          <w:p w14:paraId="5CCCC94A" w14:textId="77777777" w:rsidR="00AA05D9" w:rsidRPr="00CA3C20" w:rsidRDefault="00AA05D9" w:rsidP="00DC18D4">
            <w:r w:rsidRPr="00CA3C20">
              <w:t>1420</w:t>
            </w:r>
          </w:p>
        </w:tc>
        <w:tc>
          <w:tcPr>
            <w:tcW w:w="2386" w:type="dxa"/>
            <w:shd w:val="clear" w:color="auto" w:fill="auto"/>
          </w:tcPr>
          <w:p w14:paraId="5CCCC94B" w14:textId="77777777" w:rsidR="00AA05D9" w:rsidRPr="00CA3C20" w:rsidRDefault="00AA05D9" w:rsidP="00DC18D4">
            <w:r>
              <w:t>ALJ Settlement</w:t>
            </w:r>
          </w:p>
        </w:tc>
        <w:tc>
          <w:tcPr>
            <w:tcW w:w="4320" w:type="dxa"/>
          </w:tcPr>
          <w:p w14:paraId="5CCCC94C" w14:textId="77777777" w:rsidR="00AA05D9" w:rsidRPr="00CA3C20" w:rsidRDefault="00AA05D9" w:rsidP="00DC18D4">
            <w:r>
              <w:t>O (</w:t>
            </w:r>
            <w:r w:rsidRPr="00CA3C20">
              <w:t>Part 341 Oil Pipelines Program</w:t>
            </w:r>
            <w:r>
              <w:t>)</w:t>
            </w:r>
          </w:p>
        </w:tc>
        <w:tc>
          <w:tcPr>
            <w:tcW w:w="1705" w:type="dxa"/>
          </w:tcPr>
          <w:p w14:paraId="5CCCC94D" w14:textId="77777777" w:rsidR="00AA05D9" w:rsidRDefault="00AA05D9" w:rsidP="00DC18D4">
            <w:r>
              <w:t>Compliance</w:t>
            </w:r>
          </w:p>
        </w:tc>
      </w:tr>
      <w:tr w:rsidR="00AA05D9" w:rsidRPr="003249DD" w14:paraId="5CCCC953" w14:textId="77777777" w:rsidTr="00AA05D9">
        <w:trPr>
          <w:jc w:val="center"/>
        </w:trPr>
        <w:tc>
          <w:tcPr>
            <w:tcW w:w="939" w:type="dxa"/>
            <w:shd w:val="clear" w:color="auto" w:fill="auto"/>
          </w:tcPr>
          <w:p w14:paraId="5CCCC94F" w14:textId="77777777" w:rsidR="00AA05D9" w:rsidRPr="00CA3C20" w:rsidRDefault="00AA05D9" w:rsidP="00AA05D9">
            <w:r>
              <w:t>1460</w:t>
            </w:r>
          </w:p>
        </w:tc>
        <w:tc>
          <w:tcPr>
            <w:tcW w:w="2386" w:type="dxa"/>
            <w:shd w:val="clear" w:color="auto" w:fill="auto"/>
          </w:tcPr>
          <w:p w14:paraId="5CCCC950" w14:textId="77777777" w:rsidR="00AA05D9" w:rsidRPr="00CA3C20" w:rsidRDefault="00AA05D9" w:rsidP="00AA05D9">
            <w:r>
              <w:t>ALJ Settlement Modification</w:t>
            </w:r>
          </w:p>
        </w:tc>
        <w:tc>
          <w:tcPr>
            <w:tcW w:w="4320" w:type="dxa"/>
          </w:tcPr>
          <w:p w14:paraId="5CCCC951" w14:textId="77777777" w:rsidR="00AA05D9" w:rsidRPr="00CA3C20" w:rsidRDefault="00AA05D9" w:rsidP="00AA05D9">
            <w:r>
              <w:t>E (</w:t>
            </w:r>
            <w:r w:rsidRPr="00CA3C20">
              <w:t>Part 35 FPA Traditional Cost of Service and Market Based Rate Program</w:t>
            </w:r>
          </w:p>
        </w:tc>
        <w:tc>
          <w:tcPr>
            <w:tcW w:w="1705" w:type="dxa"/>
          </w:tcPr>
          <w:p w14:paraId="5CCCC952" w14:textId="77777777" w:rsidR="00AA05D9" w:rsidRDefault="00AA05D9" w:rsidP="00AA05D9">
            <w:r>
              <w:t>Report</w:t>
            </w:r>
          </w:p>
        </w:tc>
      </w:tr>
      <w:tr w:rsidR="00AA05D9" w:rsidRPr="003249DD" w14:paraId="5CCCC958" w14:textId="77777777" w:rsidTr="00AA05D9">
        <w:trPr>
          <w:jc w:val="center"/>
        </w:trPr>
        <w:tc>
          <w:tcPr>
            <w:tcW w:w="939" w:type="dxa"/>
            <w:shd w:val="clear" w:color="auto" w:fill="auto"/>
          </w:tcPr>
          <w:p w14:paraId="5CCCC954" w14:textId="77777777" w:rsidR="00AA05D9" w:rsidRPr="00CA3C20" w:rsidRDefault="00AA05D9" w:rsidP="00AA05D9">
            <w:r>
              <w:t>1470</w:t>
            </w:r>
          </w:p>
        </w:tc>
        <w:tc>
          <w:tcPr>
            <w:tcW w:w="2386" w:type="dxa"/>
            <w:shd w:val="clear" w:color="auto" w:fill="auto"/>
          </w:tcPr>
          <w:p w14:paraId="5CCCC955" w14:textId="77777777" w:rsidR="00AA05D9" w:rsidRDefault="00AA05D9" w:rsidP="00AA05D9">
            <w:r w:rsidRPr="00C02876">
              <w:t>ALJ Settlement Modification</w:t>
            </w:r>
          </w:p>
        </w:tc>
        <w:tc>
          <w:tcPr>
            <w:tcW w:w="4320" w:type="dxa"/>
          </w:tcPr>
          <w:p w14:paraId="5CCCC956" w14:textId="77777777" w:rsidR="00AA05D9" w:rsidRPr="00CA3C20" w:rsidRDefault="00AA05D9" w:rsidP="00AA05D9">
            <w:r>
              <w:t>M (</w:t>
            </w:r>
            <w:r w:rsidRPr="00CA3C20">
              <w:t>Part 35 FPA Market Based Rate Program</w:t>
            </w:r>
            <w:r>
              <w:t>)</w:t>
            </w:r>
          </w:p>
        </w:tc>
        <w:tc>
          <w:tcPr>
            <w:tcW w:w="1705" w:type="dxa"/>
          </w:tcPr>
          <w:p w14:paraId="5CCCC957" w14:textId="77777777" w:rsidR="00AA05D9" w:rsidRDefault="00AA05D9" w:rsidP="00AA05D9">
            <w:r w:rsidRPr="00AB7108">
              <w:t>Report</w:t>
            </w:r>
          </w:p>
        </w:tc>
      </w:tr>
      <w:tr w:rsidR="00AA05D9" w:rsidRPr="003249DD" w14:paraId="5CCCC95D" w14:textId="77777777" w:rsidTr="00AA05D9">
        <w:trPr>
          <w:jc w:val="center"/>
        </w:trPr>
        <w:tc>
          <w:tcPr>
            <w:tcW w:w="939" w:type="dxa"/>
            <w:shd w:val="clear" w:color="auto" w:fill="auto"/>
          </w:tcPr>
          <w:p w14:paraId="5CCCC959" w14:textId="77777777" w:rsidR="00AA05D9" w:rsidRPr="00CA3C20" w:rsidRDefault="00AA05D9" w:rsidP="00AA05D9">
            <w:r>
              <w:t>1480</w:t>
            </w:r>
          </w:p>
        </w:tc>
        <w:tc>
          <w:tcPr>
            <w:tcW w:w="2386" w:type="dxa"/>
            <w:shd w:val="clear" w:color="auto" w:fill="auto"/>
          </w:tcPr>
          <w:p w14:paraId="5CCCC95A" w14:textId="77777777" w:rsidR="00AA05D9" w:rsidRDefault="00AA05D9" w:rsidP="00AA05D9">
            <w:r w:rsidRPr="00C02876">
              <w:t>ALJ Settlement Modification</w:t>
            </w:r>
          </w:p>
        </w:tc>
        <w:tc>
          <w:tcPr>
            <w:tcW w:w="4320" w:type="dxa"/>
          </w:tcPr>
          <w:p w14:paraId="5CCCC95B" w14:textId="77777777" w:rsidR="00AA05D9" w:rsidRPr="00CA3C20" w:rsidRDefault="00AA05D9" w:rsidP="00AA05D9">
            <w:r>
              <w:t>G (</w:t>
            </w:r>
            <w:r w:rsidRPr="00CA3C20">
              <w:t>Part 154 NGA Gas Pipelines Program</w:t>
            </w:r>
            <w:r>
              <w:t>)</w:t>
            </w:r>
          </w:p>
        </w:tc>
        <w:tc>
          <w:tcPr>
            <w:tcW w:w="1705" w:type="dxa"/>
          </w:tcPr>
          <w:p w14:paraId="5CCCC95C" w14:textId="77777777" w:rsidR="00AA05D9" w:rsidRDefault="00AA05D9" w:rsidP="00AA05D9">
            <w:r w:rsidRPr="00AB7108">
              <w:t>Report</w:t>
            </w:r>
          </w:p>
        </w:tc>
      </w:tr>
      <w:tr w:rsidR="00AA05D9" w:rsidRPr="003249DD" w14:paraId="5CCCC962" w14:textId="77777777" w:rsidTr="00AA05D9">
        <w:trPr>
          <w:jc w:val="center"/>
        </w:trPr>
        <w:tc>
          <w:tcPr>
            <w:tcW w:w="939" w:type="dxa"/>
            <w:shd w:val="clear" w:color="auto" w:fill="auto"/>
          </w:tcPr>
          <w:p w14:paraId="5CCCC95E" w14:textId="77777777" w:rsidR="00AA05D9" w:rsidRPr="00CA3C20" w:rsidRDefault="00AA05D9" w:rsidP="00AA05D9">
            <w:r>
              <w:t>1490</w:t>
            </w:r>
          </w:p>
        </w:tc>
        <w:tc>
          <w:tcPr>
            <w:tcW w:w="2386" w:type="dxa"/>
            <w:shd w:val="clear" w:color="auto" w:fill="auto"/>
          </w:tcPr>
          <w:p w14:paraId="5CCCC95F" w14:textId="77777777" w:rsidR="00AA05D9" w:rsidRDefault="00AA05D9" w:rsidP="00AA05D9">
            <w:r w:rsidRPr="00C02876">
              <w:t>ALJ Settlement Modification</w:t>
            </w:r>
          </w:p>
        </w:tc>
        <w:tc>
          <w:tcPr>
            <w:tcW w:w="4320" w:type="dxa"/>
          </w:tcPr>
          <w:p w14:paraId="5CCCC960" w14:textId="77777777" w:rsidR="00AA05D9" w:rsidRPr="00CA3C20" w:rsidRDefault="00AA05D9" w:rsidP="00AA05D9">
            <w:r>
              <w:t>K (</w:t>
            </w:r>
            <w:r w:rsidRPr="00CA3C20">
              <w:t>Part 284 NGPA 311 Gas Pipelines Program</w:t>
            </w:r>
            <w:r>
              <w:t>)</w:t>
            </w:r>
          </w:p>
        </w:tc>
        <w:tc>
          <w:tcPr>
            <w:tcW w:w="1705" w:type="dxa"/>
          </w:tcPr>
          <w:p w14:paraId="5CCCC961" w14:textId="77777777" w:rsidR="00AA05D9" w:rsidRDefault="00AA05D9" w:rsidP="00AA05D9">
            <w:r w:rsidRPr="00AB7108">
              <w:t>Report</w:t>
            </w:r>
          </w:p>
        </w:tc>
      </w:tr>
      <w:tr w:rsidR="00AA05D9" w:rsidRPr="003249DD" w14:paraId="5CCCC967" w14:textId="77777777" w:rsidTr="00AA05D9">
        <w:trPr>
          <w:jc w:val="center"/>
        </w:trPr>
        <w:tc>
          <w:tcPr>
            <w:tcW w:w="939" w:type="dxa"/>
            <w:shd w:val="clear" w:color="auto" w:fill="auto"/>
          </w:tcPr>
          <w:p w14:paraId="5CCCC963" w14:textId="77777777" w:rsidR="00AA05D9" w:rsidRPr="00CA3C20" w:rsidRDefault="00AA05D9" w:rsidP="00AA05D9">
            <w:r>
              <w:t>1500</w:t>
            </w:r>
          </w:p>
        </w:tc>
        <w:tc>
          <w:tcPr>
            <w:tcW w:w="2386" w:type="dxa"/>
            <w:shd w:val="clear" w:color="auto" w:fill="auto"/>
          </w:tcPr>
          <w:p w14:paraId="5CCCC964" w14:textId="77777777" w:rsidR="00AA05D9" w:rsidRDefault="00AA05D9" w:rsidP="00AA05D9">
            <w:r w:rsidRPr="00C02876">
              <w:t>ALJ Settlement Modification</w:t>
            </w:r>
          </w:p>
        </w:tc>
        <w:tc>
          <w:tcPr>
            <w:tcW w:w="4320" w:type="dxa"/>
          </w:tcPr>
          <w:p w14:paraId="5CCCC965" w14:textId="77777777" w:rsidR="00AA05D9" w:rsidRPr="00CA3C20" w:rsidRDefault="00AA05D9" w:rsidP="00AA05D9">
            <w:r>
              <w:t>O (</w:t>
            </w:r>
            <w:r w:rsidRPr="00CA3C20">
              <w:t>Part 341 Oil Pipelines Program</w:t>
            </w:r>
            <w:r>
              <w:t>)</w:t>
            </w:r>
          </w:p>
        </w:tc>
        <w:tc>
          <w:tcPr>
            <w:tcW w:w="1705" w:type="dxa"/>
          </w:tcPr>
          <w:p w14:paraId="5CCCC966" w14:textId="77777777" w:rsidR="00AA05D9" w:rsidRDefault="00AA05D9" w:rsidP="00AA05D9">
            <w:r w:rsidRPr="00AB7108">
              <w:t>Report</w:t>
            </w:r>
          </w:p>
        </w:tc>
      </w:tr>
    </w:tbl>
    <w:p w14:paraId="5CCCC968" w14:textId="77777777" w:rsidR="0078400D" w:rsidRDefault="0078400D" w:rsidP="0078400D">
      <w:pPr>
        <w:pStyle w:val="FERCparanumber"/>
        <w:numPr>
          <w:ilvl w:val="0"/>
          <w:numId w:val="0"/>
        </w:numPr>
      </w:pPr>
    </w:p>
    <w:p w14:paraId="5CCCC969" w14:textId="77777777" w:rsidR="000C751C" w:rsidRDefault="000C751C" w:rsidP="005110AF"/>
    <w:p w14:paraId="1C29FFFB" w14:textId="77777777" w:rsidR="001F7AD8" w:rsidRDefault="001F7AD8" w:rsidP="005110AF"/>
    <w:p w14:paraId="5CCCC96A" w14:textId="52A03E4E" w:rsidR="000C751C" w:rsidRDefault="00C12BD3" w:rsidP="005110AF">
      <w:r>
        <w:tab/>
      </w:r>
      <w:r>
        <w:tab/>
      </w:r>
      <w:r>
        <w:tab/>
      </w:r>
      <w:r>
        <w:tab/>
      </w:r>
      <w:r>
        <w:tab/>
      </w:r>
      <w:r>
        <w:tab/>
      </w:r>
      <w:r>
        <w:tab/>
      </w:r>
      <w:r>
        <w:tab/>
      </w:r>
      <w:r>
        <w:rPr>
          <w:noProof/>
          <w:lang w:bidi="ar-SA"/>
        </w:rPr>
        <w:drawing>
          <wp:inline distT="0" distB="0" distL="0" distR="0" wp14:anchorId="6883115F" wp14:editId="478C9764">
            <wp:extent cx="1828800" cy="583094"/>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28800" cy="583094"/>
                    </a:xfrm>
                    <a:prstGeom prst="rect">
                      <a:avLst/>
                    </a:prstGeom>
                  </pic:spPr>
                </pic:pic>
              </a:graphicData>
            </a:graphic>
          </wp:inline>
        </w:drawing>
      </w:r>
    </w:p>
    <w:p w14:paraId="5CCCC96B" w14:textId="77777777" w:rsidR="000C751C" w:rsidRDefault="000C751C" w:rsidP="005110AF">
      <w:pPr>
        <w:ind w:left="5040" w:firstLine="720"/>
      </w:pPr>
      <w:r>
        <w:t>Carmen A. Cintron</w:t>
      </w:r>
    </w:p>
    <w:p w14:paraId="5CCCC96C" w14:textId="77777777" w:rsidR="000C751C" w:rsidRPr="00DF4350" w:rsidRDefault="000C751C" w:rsidP="009934DA">
      <w:pPr>
        <w:ind w:left="5040" w:firstLine="720"/>
      </w:pPr>
      <w:r>
        <w:t xml:space="preserve">Chief </w:t>
      </w:r>
      <w:r w:rsidRPr="00765484">
        <w:t>Administrative Law Judge</w:t>
      </w:r>
    </w:p>
    <w:p w14:paraId="5CCCC96E" w14:textId="77777777" w:rsidR="000C751C" w:rsidRPr="00FF5E0F" w:rsidRDefault="000C751C" w:rsidP="00FF5E0F"/>
    <w:p w14:paraId="5CCCC96F" w14:textId="77777777" w:rsidR="000C751C" w:rsidRPr="00DB5DA8" w:rsidRDefault="000C751C" w:rsidP="00DB5DA8"/>
    <w:p w14:paraId="5CCCC970" w14:textId="77777777" w:rsidR="00687825" w:rsidRPr="005D6C01" w:rsidRDefault="00687825" w:rsidP="005D6C01"/>
    <w:sectPr w:rsidR="00687825" w:rsidRPr="005D6C01" w:rsidSect="000C751C">
      <w:headerReference w:type="even" r:id="rId13"/>
      <w:headerReference w:type="default" r:id="rId14"/>
      <w:headerReference w:type="first" r:id="rId15"/>
      <w:pgSz w:w="12240" w:h="15840"/>
      <w:pgMar w:top="1440" w:right="1440" w:bottom="1440" w:left="1440" w:header="720" w:footer="1440" w:gutter="0"/>
      <w:pgNumType w:fmt="numberInDash" w:start="1"/>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CC974" w14:textId="77777777" w:rsidR="00CB49FA" w:rsidRDefault="00CB49FA">
      <w:r>
        <w:separator/>
      </w:r>
    </w:p>
  </w:endnote>
  <w:endnote w:type="continuationSeparator" w:id="0">
    <w:p w14:paraId="5CCCC975" w14:textId="77777777" w:rsidR="00CB49FA" w:rsidRDefault="00CB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CC971" w14:textId="77777777" w:rsidR="00CB49FA" w:rsidRDefault="00CB49FA">
      <w:r>
        <w:separator/>
      </w:r>
    </w:p>
  </w:footnote>
  <w:footnote w:type="continuationSeparator" w:id="0">
    <w:p w14:paraId="5CCCC972" w14:textId="77777777" w:rsidR="00CB49FA" w:rsidRDefault="00CB49FA">
      <w:r>
        <w:continuationSeparator/>
      </w:r>
    </w:p>
  </w:footnote>
  <w:footnote w:type="continuationNotice" w:id="1">
    <w:p w14:paraId="5CCCC973" w14:textId="77777777" w:rsidR="00CB49FA" w:rsidRPr="009E2C52" w:rsidRDefault="00CB49FA" w:rsidP="009E2C52">
      <w:pPr>
        <w:pStyle w:val="Footer"/>
      </w:pPr>
      <w:r w:rsidRPr="009E2C52">
        <w:rPr>
          <w:i/>
        </w:rPr>
        <w:t>(</w:t>
      </w:r>
      <w:proofErr w:type="gramStart"/>
      <w:r w:rsidRPr="009E2C52">
        <w:rPr>
          <w:i/>
        </w:rPr>
        <w:t>continued</w:t>
      </w:r>
      <w:proofErr w:type="gramEnd"/>
      <w:r w:rsidRPr="009E2C52">
        <w:rPr>
          <w:i/>
        </w:rPr>
        <w:t xml:space="preserve"> ...)</w:t>
      </w:r>
    </w:p>
  </w:footnote>
  <w:footnote w:id="2">
    <w:p w14:paraId="5CCCC97F" w14:textId="77777777" w:rsidR="0078400D" w:rsidRDefault="0078400D">
      <w:pPr>
        <w:pStyle w:val="FootnoteText"/>
      </w:pPr>
      <w:r>
        <w:rPr>
          <w:rStyle w:val="FootnoteReference"/>
        </w:rPr>
        <w:footnoteRef/>
      </w:r>
      <w:r>
        <w:t xml:space="preserve"> </w:t>
      </w:r>
      <w:r w:rsidRPr="00AE6441">
        <w:rPr>
          <w:i/>
        </w:rPr>
        <w:t xml:space="preserve">Notice of Additional </w:t>
      </w:r>
      <w:proofErr w:type="spellStart"/>
      <w:r w:rsidRPr="00AE6441">
        <w:rPr>
          <w:i/>
        </w:rPr>
        <w:t>eTariff</w:t>
      </w:r>
      <w:proofErr w:type="spellEnd"/>
      <w:r w:rsidRPr="00AE6441">
        <w:rPr>
          <w:i/>
        </w:rPr>
        <w:t xml:space="preserve"> Type of Filing Codes</w:t>
      </w:r>
      <w:r>
        <w:t xml:space="preserve"> (Dec. 1, 2016); </w:t>
      </w:r>
      <w:r w:rsidRPr="0078400D">
        <w:rPr>
          <w:i/>
        </w:rPr>
        <w:t>Notice to the Public: Procedures Governing Rule 602 Settlement Filings</w:t>
      </w:r>
      <w:r>
        <w:t xml:space="preserve"> (Oct. 13, 2017).</w:t>
      </w:r>
    </w:p>
  </w:footnote>
  <w:footnote w:id="3">
    <w:p w14:paraId="5CCCC980" w14:textId="77777777" w:rsidR="000C751C" w:rsidRDefault="000C751C" w:rsidP="000C751C">
      <w:pPr>
        <w:pStyle w:val="FootnoteText"/>
      </w:pPr>
      <w:r>
        <w:rPr>
          <w:rStyle w:val="FootnoteReference"/>
        </w:rPr>
        <w:footnoteRef/>
      </w:r>
      <w:r>
        <w:t xml:space="preserve"> Rule 602 “applies to written offers of settlement filed in any proceeding pending before the Commission or set for hearing . . . .” 18 C.F.R. § 385.602 (2017).</w:t>
      </w:r>
    </w:p>
  </w:footnote>
  <w:footnote w:id="4">
    <w:p w14:paraId="1CFAC841" w14:textId="79AA9E6A" w:rsidR="00E91CA5" w:rsidRDefault="00AA05D9" w:rsidP="00E91CA5">
      <w:pPr>
        <w:pStyle w:val="FootnoteText"/>
      </w:pPr>
      <w:r>
        <w:rPr>
          <w:rStyle w:val="FootnoteReference"/>
        </w:rPr>
        <w:footnoteRef/>
      </w:r>
      <w:r>
        <w:t xml:space="preserve"> </w:t>
      </w:r>
      <w:r w:rsidRPr="00F43EEC">
        <w:rPr>
          <w:i/>
        </w:rPr>
        <w:t xml:space="preserve">See </w:t>
      </w:r>
      <w:r w:rsidRPr="00AA05D9">
        <w:t xml:space="preserve">FERC’s </w:t>
      </w:r>
      <w:r w:rsidRPr="00F43EEC">
        <w:rPr>
          <w:i/>
        </w:rPr>
        <w:t>Office of the Secretary, Implementation Guide for Electronic Filing of Parts 35, 154, 284, 300, and 341 Tariff Filings</w:t>
      </w:r>
      <w:r w:rsidRPr="00AA05D9">
        <w:t xml:space="preserve">, v. </w:t>
      </w:r>
      <w:r>
        <w:t xml:space="preserve">November </w:t>
      </w:r>
      <w:r w:rsidR="00F43EEC">
        <w:t>14, 2016</w:t>
      </w:r>
      <w:r w:rsidRPr="00AA05D9">
        <w:t xml:space="preserve">, available at http://www.ferc.gov/docs-filing/etariff/implementation-guide.pdf, for the definition of the </w:t>
      </w:r>
      <w:proofErr w:type="spellStart"/>
      <w:r w:rsidR="00F43EEC">
        <w:t>eTariff</w:t>
      </w:r>
      <w:proofErr w:type="spellEnd"/>
      <w:r w:rsidR="00F43EEC">
        <w:t xml:space="preserve"> </w:t>
      </w:r>
      <w:r w:rsidR="00E91CA5">
        <w:t>data elements.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CC976" w14:textId="77777777" w:rsidR="00037624" w:rsidRDefault="00037624">
    <w:pPr>
      <w:pStyle w:val="Header"/>
    </w:pPr>
  </w:p>
  <w:p w14:paraId="5CCCC977" w14:textId="77777777" w:rsidR="007616CD" w:rsidRDefault="007616C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CC978" w14:textId="5F85F291" w:rsidR="00F14DA0" w:rsidRDefault="00F14DA0" w:rsidP="004A06A6">
    <w:pPr>
      <w:pStyle w:val="Header"/>
      <w:tabs>
        <w:tab w:val="clear" w:pos="8640"/>
        <w:tab w:val="right" w:pos="9360"/>
      </w:tabs>
      <w:spacing w:after="240"/>
    </w:pPr>
    <w:r>
      <w:tab/>
    </w:r>
  </w:p>
  <w:p w14:paraId="5CCCC979" w14:textId="77777777" w:rsidR="007616CD" w:rsidRDefault="007616C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CC97A" w14:textId="46ADFF5A" w:rsidR="004A06A6" w:rsidRDefault="004A06A6" w:rsidP="004A06A6">
    <w:pPr>
      <w:pStyle w:val="Header"/>
      <w:tabs>
        <w:tab w:val="clear" w:pos="864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12D12051"/>
    <w:multiLevelType w:val="hybridMultilevel"/>
    <w:tmpl w:val="F22E66E4"/>
    <w:lvl w:ilvl="0" w:tplc="12BE8A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3B3D0C"/>
    <w:multiLevelType w:val="multilevel"/>
    <w:tmpl w:val="0F626B0C"/>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3" w15:restartNumberingAfterBreak="0">
    <w:nsid w:val="1DDA5B1F"/>
    <w:multiLevelType w:val="multilevel"/>
    <w:tmpl w:val="9364EC9A"/>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14" w15:restartNumberingAfterBreak="0">
    <w:nsid w:val="1E416194"/>
    <w:multiLevelType w:val="multilevel"/>
    <w:tmpl w:val="5F3ACA38"/>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15" w15:restartNumberingAfterBreak="0">
    <w:nsid w:val="28155D2B"/>
    <w:multiLevelType w:val="multilevel"/>
    <w:tmpl w:val="EDD4782A"/>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16" w15:restartNumberingAfterBreak="0">
    <w:nsid w:val="2E6759CE"/>
    <w:multiLevelType w:val="hybridMultilevel"/>
    <w:tmpl w:val="D826AB7E"/>
    <w:lvl w:ilvl="0" w:tplc="F6A24E1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BF6D98"/>
    <w:multiLevelType w:val="hybridMultilevel"/>
    <w:tmpl w:val="AA84149A"/>
    <w:lvl w:ilvl="0" w:tplc="C41C0030">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202536"/>
    <w:multiLevelType w:val="multilevel"/>
    <w:tmpl w:val="7C647CE6"/>
    <w:lvl w:ilvl="0">
      <w:start w:val="1"/>
      <w:numFmt w:val="upperRoman"/>
      <w:lvlRestart w:val="0"/>
      <w:lvlText w:val="%1."/>
      <w:lvlJc w:val="left"/>
      <w:pPr>
        <w:tabs>
          <w:tab w:val="num" w:pos="720"/>
        </w:tabs>
        <w:ind w:left="792" w:hanging="792"/>
      </w:pPr>
    </w:lvl>
    <w:lvl w:ilvl="1">
      <w:start w:val="1"/>
      <w:numFmt w:val="upperLetter"/>
      <w:lvlText w:val="%2."/>
      <w:lvlJc w:val="left"/>
      <w:pPr>
        <w:tabs>
          <w:tab w:val="num" w:pos="1008"/>
        </w:tabs>
        <w:ind w:left="1152" w:hanging="792"/>
      </w:pPr>
    </w:lvl>
    <w:lvl w:ilvl="2">
      <w:start w:val="1"/>
      <w:numFmt w:val="decimal"/>
      <w:lvlText w:val="%3."/>
      <w:lvlJc w:val="left"/>
      <w:pPr>
        <w:tabs>
          <w:tab w:val="num" w:pos="1296"/>
        </w:tabs>
        <w:ind w:left="1512" w:hanging="792"/>
      </w:pPr>
    </w:lvl>
    <w:lvl w:ilvl="3">
      <w:start w:val="1"/>
      <w:numFmt w:val="lowerLetter"/>
      <w:lvlText w:val="%4."/>
      <w:lvlJc w:val="left"/>
      <w:pPr>
        <w:tabs>
          <w:tab w:val="num" w:pos="1584"/>
        </w:tabs>
        <w:ind w:left="1872" w:hanging="792"/>
      </w:pPr>
    </w:lvl>
    <w:lvl w:ilvl="4">
      <w:start w:val="1"/>
      <w:numFmt w:val="lowerRoman"/>
      <w:lvlText w:val="%5."/>
      <w:lvlJc w:val="left"/>
      <w:pPr>
        <w:tabs>
          <w:tab w:val="num" w:pos="1872"/>
        </w:tabs>
        <w:ind w:left="2232" w:hanging="792"/>
      </w:pPr>
    </w:lvl>
    <w:lvl w:ilvl="5">
      <w:start w:val="1"/>
      <w:numFmt w:val="lowerLetter"/>
      <w:lvlText w:val="(%6)"/>
      <w:lvlJc w:val="left"/>
      <w:pPr>
        <w:tabs>
          <w:tab w:val="num" w:pos="2160"/>
        </w:tabs>
        <w:ind w:left="2592" w:hanging="792"/>
      </w:pPr>
    </w:lvl>
    <w:lvl w:ilvl="6">
      <w:start w:val="1"/>
      <w:numFmt w:val="decimal"/>
      <w:lvlText w:val="(%7)"/>
      <w:lvlJc w:val="left"/>
      <w:pPr>
        <w:tabs>
          <w:tab w:val="num" w:pos="2448"/>
        </w:tabs>
        <w:ind w:left="2952" w:hanging="792"/>
      </w:pPr>
    </w:lvl>
    <w:lvl w:ilvl="7">
      <w:start w:val="1"/>
      <w:numFmt w:val="lowerRoman"/>
      <w:lvlText w:val="(%8)"/>
      <w:lvlJc w:val="left"/>
      <w:pPr>
        <w:tabs>
          <w:tab w:val="num" w:pos="2736"/>
        </w:tabs>
        <w:ind w:left="3312" w:hanging="792"/>
      </w:pPr>
    </w:lvl>
    <w:lvl w:ilvl="8">
      <w:start w:val="1"/>
      <w:numFmt w:val="decimalZero"/>
      <w:lvlText w:val="(%9)"/>
      <w:lvlJc w:val="left"/>
      <w:pPr>
        <w:tabs>
          <w:tab w:val="num" w:pos="3024"/>
        </w:tabs>
        <w:ind w:left="3672" w:hanging="792"/>
      </w:pPr>
    </w:lvl>
  </w:abstractNum>
  <w:abstractNum w:abstractNumId="19" w15:restartNumberingAfterBreak="0">
    <w:nsid w:val="488F62B2"/>
    <w:multiLevelType w:val="multilevel"/>
    <w:tmpl w:val="A328CDEA"/>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0" w15:restartNumberingAfterBreak="0">
    <w:nsid w:val="4BEF59D1"/>
    <w:multiLevelType w:val="hybridMultilevel"/>
    <w:tmpl w:val="8F10E850"/>
    <w:lvl w:ilvl="0" w:tplc="3C32BE6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AA3180"/>
    <w:multiLevelType w:val="hybridMultilevel"/>
    <w:tmpl w:val="1FFC76DE"/>
    <w:lvl w:ilvl="0" w:tplc="B4827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674FD5"/>
    <w:multiLevelType w:val="hybridMultilevel"/>
    <w:tmpl w:val="D5A6E014"/>
    <w:lvl w:ilvl="0" w:tplc="84FE6ADC">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6646187"/>
    <w:multiLevelType w:val="hybridMultilevel"/>
    <w:tmpl w:val="9DCC217A"/>
    <w:lvl w:ilvl="0" w:tplc="D43ED736">
      <w:start w:val="1"/>
      <w:numFmt w:val="bullet"/>
      <w:lvlText w:val=""/>
      <w:lvlJc w:val="left"/>
      <w:pPr>
        <w:tabs>
          <w:tab w:val="num" w:pos="360"/>
        </w:tabs>
        <w:ind w:left="720" w:hanging="360"/>
      </w:pPr>
      <w:rPr>
        <w:rFonts w:ascii="Symbol" w:hAnsi="Symbol" w:hint="default"/>
      </w:rPr>
    </w:lvl>
    <w:lvl w:ilvl="1" w:tplc="E760E52E" w:tentative="1">
      <w:start w:val="1"/>
      <w:numFmt w:val="bullet"/>
      <w:lvlText w:val="o"/>
      <w:lvlJc w:val="left"/>
      <w:pPr>
        <w:tabs>
          <w:tab w:val="num" w:pos="1440"/>
        </w:tabs>
        <w:ind w:left="1440" w:hanging="360"/>
      </w:pPr>
      <w:rPr>
        <w:rFonts w:ascii="Courier New" w:hAnsi="Courier New" w:cs="Courier New" w:hint="default"/>
      </w:rPr>
    </w:lvl>
    <w:lvl w:ilvl="2" w:tplc="A906EF2C" w:tentative="1">
      <w:start w:val="1"/>
      <w:numFmt w:val="bullet"/>
      <w:lvlText w:val=""/>
      <w:lvlJc w:val="left"/>
      <w:pPr>
        <w:tabs>
          <w:tab w:val="num" w:pos="2160"/>
        </w:tabs>
        <w:ind w:left="2160" w:hanging="360"/>
      </w:pPr>
      <w:rPr>
        <w:rFonts w:ascii="Wingdings" w:hAnsi="Wingdings" w:hint="default"/>
      </w:rPr>
    </w:lvl>
    <w:lvl w:ilvl="3" w:tplc="174C3630" w:tentative="1">
      <w:start w:val="1"/>
      <w:numFmt w:val="bullet"/>
      <w:lvlText w:val=""/>
      <w:lvlJc w:val="left"/>
      <w:pPr>
        <w:tabs>
          <w:tab w:val="num" w:pos="2880"/>
        </w:tabs>
        <w:ind w:left="2880" w:hanging="360"/>
      </w:pPr>
      <w:rPr>
        <w:rFonts w:ascii="Symbol" w:hAnsi="Symbol" w:hint="default"/>
      </w:rPr>
    </w:lvl>
    <w:lvl w:ilvl="4" w:tplc="2A58DF28" w:tentative="1">
      <w:start w:val="1"/>
      <w:numFmt w:val="bullet"/>
      <w:lvlText w:val="o"/>
      <w:lvlJc w:val="left"/>
      <w:pPr>
        <w:tabs>
          <w:tab w:val="num" w:pos="3600"/>
        </w:tabs>
        <w:ind w:left="3600" w:hanging="360"/>
      </w:pPr>
      <w:rPr>
        <w:rFonts w:ascii="Courier New" w:hAnsi="Courier New" w:cs="Courier New" w:hint="default"/>
      </w:rPr>
    </w:lvl>
    <w:lvl w:ilvl="5" w:tplc="9E04ADBC" w:tentative="1">
      <w:start w:val="1"/>
      <w:numFmt w:val="bullet"/>
      <w:lvlText w:val=""/>
      <w:lvlJc w:val="left"/>
      <w:pPr>
        <w:tabs>
          <w:tab w:val="num" w:pos="4320"/>
        </w:tabs>
        <w:ind w:left="4320" w:hanging="360"/>
      </w:pPr>
      <w:rPr>
        <w:rFonts w:ascii="Wingdings" w:hAnsi="Wingdings" w:hint="default"/>
      </w:rPr>
    </w:lvl>
    <w:lvl w:ilvl="6" w:tplc="B7582168" w:tentative="1">
      <w:start w:val="1"/>
      <w:numFmt w:val="bullet"/>
      <w:lvlText w:val=""/>
      <w:lvlJc w:val="left"/>
      <w:pPr>
        <w:tabs>
          <w:tab w:val="num" w:pos="5040"/>
        </w:tabs>
        <w:ind w:left="5040" w:hanging="360"/>
      </w:pPr>
      <w:rPr>
        <w:rFonts w:ascii="Symbol" w:hAnsi="Symbol" w:hint="default"/>
      </w:rPr>
    </w:lvl>
    <w:lvl w:ilvl="7" w:tplc="0C00A7B2" w:tentative="1">
      <w:start w:val="1"/>
      <w:numFmt w:val="bullet"/>
      <w:lvlText w:val="o"/>
      <w:lvlJc w:val="left"/>
      <w:pPr>
        <w:tabs>
          <w:tab w:val="num" w:pos="5760"/>
        </w:tabs>
        <w:ind w:left="5760" w:hanging="360"/>
      </w:pPr>
      <w:rPr>
        <w:rFonts w:ascii="Courier New" w:hAnsi="Courier New" w:cs="Courier New" w:hint="default"/>
      </w:rPr>
    </w:lvl>
    <w:lvl w:ilvl="8" w:tplc="FF02B8A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B03136"/>
    <w:multiLevelType w:val="hybridMultilevel"/>
    <w:tmpl w:val="6E201A7A"/>
    <w:lvl w:ilvl="0" w:tplc="DF94E8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A724CB"/>
    <w:multiLevelType w:val="hybridMultilevel"/>
    <w:tmpl w:val="9FBA4B32"/>
    <w:lvl w:ilvl="0" w:tplc="ACB676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3B09D3"/>
    <w:multiLevelType w:val="hybridMultilevel"/>
    <w:tmpl w:val="5B46E10E"/>
    <w:lvl w:ilvl="0" w:tplc="4560049A">
      <w:start w:val="1"/>
      <w:numFmt w:val="decimal"/>
      <w:pStyle w:val="FERCparanumber"/>
      <w:lvlText w:val="%1."/>
      <w:lvlJc w:val="left"/>
      <w:pPr>
        <w:tabs>
          <w:tab w:val="num" w:pos="720"/>
        </w:tabs>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4E4DD3"/>
    <w:multiLevelType w:val="hybridMultilevel"/>
    <w:tmpl w:val="50CAE678"/>
    <w:lvl w:ilvl="0" w:tplc="D4323D40">
      <w:start w:val="1"/>
      <w:numFmt w:val="decimal"/>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0"/>
  </w:num>
  <w:num w:numId="3">
    <w:abstractNumId w:val="22"/>
  </w:num>
  <w:num w:numId="4">
    <w:abstractNumId w:val="16"/>
  </w:num>
  <w:num w:numId="5">
    <w:abstractNumId w:val="27"/>
  </w:num>
  <w:num w:numId="6">
    <w:abstractNumId w:val="9"/>
  </w:num>
  <w:num w:numId="7">
    <w:abstractNumId w:val="9"/>
  </w:num>
  <w:num w:numId="8">
    <w:abstractNumId w:val="7"/>
  </w:num>
  <w:num w:numId="9">
    <w:abstractNumId w:val="7"/>
  </w:num>
  <w:num w:numId="10">
    <w:abstractNumId w:val="6"/>
  </w:num>
  <w:num w:numId="11">
    <w:abstractNumId w:val="6"/>
  </w:num>
  <w:num w:numId="12">
    <w:abstractNumId w:val="5"/>
  </w:num>
  <w:num w:numId="13">
    <w:abstractNumId w:val="5"/>
  </w:num>
  <w:num w:numId="14">
    <w:abstractNumId w:val="4"/>
  </w:num>
  <w:num w:numId="15">
    <w:abstractNumId w:val="4"/>
  </w:num>
  <w:num w:numId="16">
    <w:abstractNumId w:val="8"/>
  </w:num>
  <w:num w:numId="17">
    <w:abstractNumId w:val="8"/>
  </w:num>
  <w:num w:numId="18">
    <w:abstractNumId w:val="3"/>
  </w:num>
  <w:num w:numId="19">
    <w:abstractNumId w:val="3"/>
  </w:num>
  <w:num w:numId="20">
    <w:abstractNumId w:val="2"/>
  </w:num>
  <w:num w:numId="21">
    <w:abstractNumId w:val="2"/>
  </w:num>
  <w:num w:numId="22">
    <w:abstractNumId w:val="1"/>
  </w:num>
  <w:num w:numId="23">
    <w:abstractNumId w:val="1"/>
  </w:num>
  <w:num w:numId="24">
    <w:abstractNumId w:val="0"/>
  </w:num>
  <w:num w:numId="25">
    <w:abstractNumId w:val="0"/>
  </w:num>
  <w:num w:numId="26">
    <w:abstractNumId w:val="23"/>
  </w:num>
  <w:num w:numId="27">
    <w:abstractNumId w:val="14"/>
  </w:num>
  <w:num w:numId="28">
    <w:abstractNumId w:val="18"/>
  </w:num>
  <w:num w:numId="29">
    <w:abstractNumId w:val="15"/>
  </w:num>
  <w:num w:numId="30">
    <w:abstractNumId w:val="12"/>
  </w:num>
  <w:num w:numId="31">
    <w:abstractNumId w:val="19"/>
  </w:num>
  <w:num w:numId="32">
    <w:abstractNumId w:val="13"/>
  </w:num>
  <w:num w:numId="33">
    <w:abstractNumId w:val="25"/>
  </w:num>
  <w:num w:numId="34">
    <w:abstractNumId w:val="21"/>
  </w:num>
  <w:num w:numId="35">
    <w:abstractNumId w:val="24"/>
  </w:num>
  <w:num w:numId="36">
    <w:abstractNumId w:val="11"/>
  </w:num>
  <w:num w:numId="37">
    <w:abstractNumId w:val="26"/>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43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51C"/>
    <w:rsid w:val="00003B3F"/>
    <w:rsid w:val="000060FC"/>
    <w:rsid w:val="00006E79"/>
    <w:rsid w:val="00007013"/>
    <w:rsid w:val="0001111E"/>
    <w:rsid w:val="00015BA4"/>
    <w:rsid w:val="00017BC9"/>
    <w:rsid w:val="00020927"/>
    <w:rsid w:val="0002233B"/>
    <w:rsid w:val="00026067"/>
    <w:rsid w:val="000306AF"/>
    <w:rsid w:val="00031C3A"/>
    <w:rsid w:val="00033A3C"/>
    <w:rsid w:val="00034F57"/>
    <w:rsid w:val="000354F3"/>
    <w:rsid w:val="00036021"/>
    <w:rsid w:val="00037624"/>
    <w:rsid w:val="00041E93"/>
    <w:rsid w:val="00042449"/>
    <w:rsid w:val="00042BCC"/>
    <w:rsid w:val="00044589"/>
    <w:rsid w:val="00044C47"/>
    <w:rsid w:val="0005260D"/>
    <w:rsid w:val="0005406C"/>
    <w:rsid w:val="00055B09"/>
    <w:rsid w:val="000562C9"/>
    <w:rsid w:val="00060AEC"/>
    <w:rsid w:val="00061F05"/>
    <w:rsid w:val="000630E3"/>
    <w:rsid w:val="00063363"/>
    <w:rsid w:val="00064D88"/>
    <w:rsid w:val="00064E82"/>
    <w:rsid w:val="0006768F"/>
    <w:rsid w:val="00091D90"/>
    <w:rsid w:val="00094059"/>
    <w:rsid w:val="000964CE"/>
    <w:rsid w:val="000973D0"/>
    <w:rsid w:val="000A500F"/>
    <w:rsid w:val="000A7674"/>
    <w:rsid w:val="000B32DC"/>
    <w:rsid w:val="000B3933"/>
    <w:rsid w:val="000B5FB2"/>
    <w:rsid w:val="000C159C"/>
    <w:rsid w:val="000C3615"/>
    <w:rsid w:val="000C4779"/>
    <w:rsid w:val="000C6CFB"/>
    <w:rsid w:val="000C751C"/>
    <w:rsid w:val="000D376F"/>
    <w:rsid w:val="000D3A7D"/>
    <w:rsid w:val="000D6533"/>
    <w:rsid w:val="000D709F"/>
    <w:rsid w:val="000E019F"/>
    <w:rsid w:val="000E0D77"/>
    <w:rsid w:val="000E314D"/>
    <w:rsid w:val="000E45F7"/>
    <w:rsid w:val="000E5DA1"/>
    <w:rsid w:val="000E6E42"/>
    <w:rsid w:val="000E733C"/>
    <w:rsid w:val="000F114C"/>
    <w:rsid w:val="000F1A65"/>
    <w:rsid w:val="000F40DE"/>
    <w:rsid w:val="000F64B6"/>
    <w:rsid w:val="001010D1"/>
    <w:rsid w:val="00101744"/>
    <w:rsid w:val="00103AE2"/>
    <w:rsid w:val="00107D5A"/>
    <w:rsid w:val="0011005F"/>
    <w:rsid w:val="001128A5"/>
    <w:rsid w:val="001133DD"/>
    <w:rsid w:val="0011539B"/>
    <w:rsid w:val="0011549F"/>
    <w:rsid w:val="0011560A"/>
    <w:rsid w:val="001174A2"/>
    <w:rsid w:val="00120778"/>
    <w:rsid w:val="00122EF4"/>
    <w:rsid w:val="001278B8"/>
    <w:rsid w:val="00127B80"/>
    <w:rsid w:val="00130484"/>
    <w:rsid w:val="0013289A"/>
    <w:rsid w:val="00132EB8"/>
    <w:rsid w:val="00133507"/>
    <w:rsid w:val="00135393"/>
    <w:rsid w:val="00136C66"/>
    <w:rsid w:val="0014077F"/>
    <w:rsid w:val="0014170E"/>
    <w:rsid w:val="00144766"/>
    <w:rsid w:val="001450B0"/>
    <w:rsid w:val="00145BF3"/>
    <w:rsid w:val="001460E5"/>
    <w:rsid w:val="00146A35"/>
    <w:rsid w:val="00147246"/>
    <w:rsid w:val="00152CDE"/>
    <w:rsid w:val="001541A7"/>
    <w:rsid w:val="0015507A"/>
    <w:rsid w:val="00155DB7"/>
    <w:rsid w:val="001619AF"/>
    <w:rsid w:val="00162576"/>
    <w:rsid w:val="001650BD"/>
    <w:rsid w:val="00167547"/>
    <w:rsid w:val="001701EA"/>
    <w:rsid w:val="001722E3"/>
    <w:rsid w:val="00173678"/>
    <w:rsid w:val="00176FE3"/>
    <w:rsid w:val="00177390"/>
    <w:rsid w:val="00177D0A"/>
    <w:rsid w:val="00183FD6"/>
    <w:rsid w:val="001853F5"/>
    <w:rsid w:val="0018593D"/>
    <w:rsid w:val="00191145"/>
    <w:rsid w:val="001946CD"/>
    <w:rsid w:val="00196908"/>
    <w:rsid w:val="0019719C"/>
    <w:rsid w:val="001A12DE"/>
    <w:rsid w:val="001A3237"/>
    <w:rsid w:val="001A4C5E"/>
    <w:rsid w:val="001A509E"/>
    <w:rsid w:val="001A5D72"/>
    <w:rsid w:val="001A68C8"/>
    <w:rsid w:val="001B3928"/>
    <w:rsid w:val="001B4D9E"/>
    <w:rsid w:val="001C04AA"/>
    <w:rsid w:val="001C139A"/>
    <w:rsid w:val="001C17A3"/>
    <w:rsid w:val="001C238C"/>
    <w:rsid w:val="001C2ADC"/>
    <w:rsid w:val="001C5E36"/>
    <w:rsid w:val="001D0604"/>
    <w:rsid w:val="001D089C"/>
    <w:rsid w:val="001D3568"/>
    <w:rsid w:val="001D6113"/>
    <w:rsid w:val="001D75C1"/>
    <w:rsid w:val="001D7F9B"/>
    <w:rsid w:val="001E0830"/>
    <w:rsid w:val="001E1B1A"/>
    <w:rsid w:val="001E21EE"/>
    <w:rsid w:val="001E2D62"/>
    <w:rsid w:val="001E4699"/>
    <w:rsid w:val="001E4A71"/>
    <w:rsid w:val="001F2EEF"/>
    <w:rsid w:val="001F3934"/>
    <w:rsid w:val="001F7AD8"/>
    <w:rsid w:val="001F7FC3"/>
    <w:rsid w:val="00200B82"/>
    <w:rsid w:val="00202422"/>
    <w:rsid w:val="00204512"/>
    <w:rsid w:val="00206D7D"/>
    <w:rsid w:val="002078F6"/>
    <w:rsid w:val="002106AD"/>
    <w:rsid w:val="00214C9E"/>
    <w:rsid w:val="00215AC5"/>
    <w:rsid w:val="00215DA9"/>
    <w:rsid w:val="002246EF"/>
    <w:rsid w:val="002249CA"/>
    <w:rsid w:val="002306D9"/>
    <w:rsid w:val="0023489A"/>
    <w:rsid w:val="002375ED"/>
    <w:rsid w:val="00240066"/>
    <w:rsid w:val="002409A1"/>
    <w:rsid w:val="0024169F"/>
    <w:rsid w:val="002426C3"/>
    <w:rsid w:val="0024305C"/>
    <w:rsid w:val="00243A8E"/>
    <w:rsid w:val="00244F11"/>
    <w:rsid w:val="00246BA2"/>
    <w:rsid w:val="00246F71"/>
    <w:rsid w:val="00252420"/>
    <w:rsid w:val="00252506"/>
    <w:rsid w:val="0025400C"/>
    <w:rsid w:val="002553AC"/>
    <w:rsid w:val="00255663"/>
    <w:rsid w:val="0025783E"/>
    <w:rsid w:val="0026424F"/>
    <w:rsid w:val="00264564"/>
    <w:rsid w:val="00266808"/>
    <w:rsid w:val="002747B3"/>
    <w:rsid w:val="002756B8"/>
    <w:rsid w:val="00277D1A"/>
    <w:rsid w:val="00280451"/>
    <w:rsid w:val="0028132C"/>
    <w:rsid w:val="00281B3C"/>
    <w:rsid w:val="002828F2"/>
    <w:rsid w:val="00282B1D"/>
    <w:rsid w:val="00282D15"/>
    <w:rsid w:val="002852E3"/>
    <w:rsid w:val="0028697E"/>
    <w:rsid w:val="002875D8"/>
    <w:rsid w:val="00291716"/>
    <w:rsid w:val="00295309"/>
    <w:rsid w:val="002959F3"/>
    <w:rsid w:val="002A0BA7"/>
    <w:rsid w:val="002A5520"/>
    <w:rsid w:val="002A7865"/>
    <w:rsid w:val="002B0506"/>
    <w:rsid w:val="002B0C7A"/>
    <w:rsid w:val="002B3C54"/>
    <w:rsid w:val="002B6530"/>
    <w:rsid w:val="002B7D27"/>
    <w:rsid w:val="002C0DAE"/>
    <w:rsid w:val="002C1C5D"/>
    <w:rsid w:val="002C3700"/>
    <w:rsid w:val="002C4EF3"/>
    <w:rsid w:val="002C566E"/>
    <w:rsid w:val="002D1319"/>
    <w:rsid w:val="002D1796"/>
    <w:rsid w:val="002D52AE"/>
    <w:rsid w:val="002D6739"/>
    <w:rsid w:val="002D7D08"/>
    <w:rsid w:val="002E1E26"/>
    <w:rsid w:val="002E4290"/>
    <w:rsid w:val="002E6453"/>
    <w:rsid w:val="002E6C23"/>
    <w:rsid w:val="002E7495"/>
    <w:rsid w:val="002E770C"/>
    <w:rsid w:val="002E7C77"/>
    <w:rsid w:val="002F2C6F"/>
    <w:rsid w:val="002F469D"/>
    <w:rsid w:val="002F59AF"/>
    <w:rsid w:val="00301152"/>
    <w:rsid w:val="003023C7"/>
    <w:rsid w:val="00302619"/>
    <w:rsid w:val="00303ECA"/>
    <w:rsid w:val="0030424D"/>
    <w:rsid w:val="00306E0F"/>
    <w:rsid w:val="00311B1B"/>
    <w:rsid w:val="0031611A"/>
    <w:rsid w:val="00320784"/>
    <w:rsid w:val="003303B3"/>
    <w:rsid w:val="0033292D"/>
    <w:rsid w:val="003350BC"/>
    <w:rsid w:val="0033571D"/>
    <w:rsid w:val="0034397E"/>
    <w:rsid w:val="00350924"/>
    <w:rsid w:val="00352C04"/>
    <w:rsid w:val="0035446A"/>
    <w:rsid w:val="00354CA4"/>
    <w:rsid w:val="00356443"/>
    <w:rsid w:val="00356C4A"/>
    <w:rsid w:val="00356DE0"/>
    <w:rsid w:val="003616F2"/>
    <w:rsid w:val="003618AE"/>
    <w:rsid w:val="0036385A"/>
    <w:rsid w:val="00363B12"/>
    <w:rsid w:val="003720E6"/>
    <w:rsid w:val="003734FE"/>
    <w:rsid w:val="00380088"/>
    <w:rsid w:val="00380575"/>
    <w:rsid w:val="00381F65"/>
    <w:rsid w:val="00382564"/>
    <w:rsid w:val="00385471"/>
    <w:rsid w:val="00385528"/>
    <w:rsid w:val="00386BAB"/>
    <w:rsid w:val="00387B47"/>
    <w:rsid w:val="00387FB2"/>
    <w:rsid w:val="00395734"/>
    <w:rsid w:val="0039586A"/>
    <w:rsid w:val="00395E13"/>
    <w:rsid w:val="003A16CB"/>
    <w:rsid w:val="003A1859"/>
    <w:rsid w:val="003A1A81"/>
    <w:rsid w:val="003A21F0"/>
    <w:rsid w:val="003A29EC"/>
    <w:rsid w:val="003A3A1A"/>
    <w:rsid w:val="003A57B4"/>
    <w:rsid w:val="003A7663"/>
    <w:rsid w:val="003B0BF6"/>
    <w:rsid w:val="003B624D"/>
    <w:rsid w:val="003B6D6F"/>
    <w:rsid w:val="003B708B"/>
    <w:rsid w:val="003C04A0"/>
    <w:rsid w:val="003C25C4"/>
    <w:rsid w:val="003C31A8"/>
    <w:rsid w:val="003C6481"/>
    <w:rsid w:val="003D1CEB"/>
    <w:rsid w:val="003D3C82"/>
    <w:rsid w:val="003D3EF2"/>
    <w:rsid w:val="003D7B87"/>
    <w:rsid w:val="003E36DD"/>
    <w:rsid w:val="003E51BE"/>
    <w:rsid w:val="003E5C8D"/>
    <w:rsid w:val="003F011D"/>
    <w:rsid w:val="003F0247"/>
    <w:rsid w:val="003F0FB9"/>
    <w:rsid w:val="003F54F3"/>
    <w:rsid w:val="003F590E"/>
    <w:rsid w:val="003F6EDE"/>
    <w:rsid w:val="0040233E"/>
    <w:rsid w:val="00410457"/>
    <w:rsid w:val="00413272"/>
    <w:rsid w:val="00416D9A"/>
    <w:rsid w:val="004210A2"/>
    <w:rsid w:val="00423354"/>
    <w:rsid w:val="004262B5"/>
    <w:rsid w:val="00426D49"/>
    <w:rsid w:val="0042733F"/>
    <w:rsid w:val="0043382D"/>
    <w:rsid w:val="0043427F"/>
    <w:rsid w:val="00435317"/>
    <w:rsid w:val="00435F24"/>
    <w:rsid w:val="00435F5E"/>
    <w:rsid w:val="004417F3"/>
    <w:rsid w:val="00443B68"/>
    <w:rsid w:val="004441D5"/>
    <w:rsid w:val="00444FC9"/>
    <w:rsid w:val="004456FB"/>
    <w:rsid w:val="004457FF"/>
    <w:rsid w:val="00447165"/>
    <w:rsid w:val="004504FE"/>
    <w:rsid w:val="00450972"/>
    <w:rsid w:val="00453AA9"/>
    <w:rsid w:val="0045406D"/>
    <w:rsid w:val="004561CC"/>
    <w:rsid w:val="00456DF6"/>
    <w:rsid w:val="0045745A"/>
    <w:rsid w:val="004578E7"/>
    <w:rsid w:val="00461B52"/>
    <w:rsid w:val="0046225D"/>
    <w:rsid w:val="00462FE3"/>
    <w:rsid w:val="00463A19"/>
    <w:rsid w:val="004675D3"/>
    <w:rsid w:val="00471548"/>
    <w:rsid w:val="00472AED"/>
    <w:rsid w:val="00472C0E"/>
    <w:rsid w:val="004742CA"/>
    <w:rsid w:val="00476E2C"/>
    <w:rsid w:val="004773EA"/>
    <w:rsid w:val="00481C81"/>
    <w:rsid w:val="00493467"/>
    <w:rsid w:val="0049353F"/>
    <w:rsid w:val="004943A1"/>
    <w:rsid w:val="00494BF5"/>
    <w:rsid w:val="00495B6D"/>
    <w:rsid w:val="00495D49"/>
    <w:rsid w:val="00497893"/>
    <w:rsid w:val="00497F21"/>
    <w:rsid w:val="004A06A6"/>
    <w:rsid w:val="004A0C80"/>
    <w:rsid w:val="004A2E84"/>
    <w:rsid w:val="004B4F19"/>
    <w:rsid w:val="004B5B9D"/>
    <w:rsid w:val="004B7E0A"/>
    <w:rsid w:val="004C5DA2"/>
    <w:rsid w:val="004D0548"/>
    <w:rsid w:val="004D2571"/>
    <w:rsid w:val="004D4787"/>
    <w:rsid w:val="004D543A"/>
    <w:rsid w:val="004D723B"/>
    <w:rsid w:val="004E021C"/>
    <w:rsid w:val="004E0FFD"/>
    <w:rsid w:val="004E1EEC"/>
    <w:rsid w:val="004E50F6"/>
    <w:rsid w:val="004E7360"/>
    <w:rsid w:val="004F0FB4"/>
    <w:rsid w:val="004F3359"/>
    <w:rsid w:val="004F6DC4"/>
    <w:rsid w:val="00500594"/>
    <w:rsid w:val="00502A03"/>
    <w:rsid w:val="00503D0B"/>
    <w:rsid w:val="00510866"/>
    <w:rsid w:val="005120DC"/>
    <w:rsid w:val="00512F51"/>
    <w:rsid w:val="0052383E"/>
    <w:rsid w:val="00530096"/>
    <w:rsid w:val="00531C65"/>
    <w:rsid w:val="005334B1"/>
    <w:rsid w:val="0053381C"/>
    <w:rsid w:val="00535774"/>
    <w:rsid w:val="00537319"/>
    <w:rsid w:val="0053745E"/>
    <w:rsid w:val="00540649"/>
    <w:rsid w:val="00542F37"/>
    <w:rsid w:val="00546996"/>
    <w:rsid w:val="00550CAB"/>
    <w:rsid w:val="0055424A"/>
    <w:rsid w:val="00554A45"/>
    <w:rsid w:val="00555578"/>
    <w:rsid w:val="00556EBF"/>
    <w:rsid w:val="0056269C"/>
    <w:rsid w:val="00563982"/>
    <w:rsid w:val="005662D9"/>
    <w:rsid w:val="00567458"/>
    <w:rsid w:val="00570E0E"/>
    <w:rsid w:val="00572737"/>
    <w:rsid w:val="0057509C"/>
    <w:rsid w:val="00576F39"/>
    <w:rsid w:val="00576F77"/>
    <w:rsid w:val="00577AED"/>
    <w:rsid w:val="005814C3"/>
    <w:rsid w:val="00585DED"/>
    <w:rsid w:val="00587397"/>
    <w:rsid w:val="0059015F"/>
    <w:rsid w:val="00596E88"/>
    <w:rsid w:val="00597BE5"/>
    <w:rsid w:val="005A0791"/>
    <w:rsid w:val="005A1771"/>
    <w:rsid w:val="005A2D11"/>
    <w:rsid w:val="005A3527"/>
    <w:rsid w:val="005A4BB1"/>
    <w:rsid w:val="005A5146"/>
    <w:rsid w:val="005A77EE"/>
    <w:rsid w:val="005B19E1"/>
    <w:rsid w:val="005B3D51"/>
    <w:rsid w:val="005B6D4C"/>
    <w:rsid w:val="005B6F61"/>
    <w:rsid w:val="005B7E3F"/>
    <w:rsid w:val="005C117B"/>
    <w:rsid w:val="005C403F"/>
    <w:rsid w:val="005C4D56"/>
    <w:rsid w:val="005C5EC8"/>
    <w:rsid w:val="005C6149"/>
    <w:rsid w:val="005C6B5C"/>
    <w:rsid w:val="005C708C"/>
    <w:rsid w:val="005C7358"/>
    <w:rsid w:val="005D1B52"/>
    <w:rsid w:val="005D36C6"/>
    <w:rsid w:val="005D36FC"/>
    <w:rsid w:val="005D6C01"/>
    <w:rsid w:val="005E0B8C"/>
    <w:rsid w:val="005E1AA5"/>
    <w:rsid w:val="005E77AD"/>
    <w:rsid w:val="005F037C"/>
    <w:rsid w:val="005F25F1"/>
    <w:rsid w:val="005F29EC"/>
    <w:rsid w:val="005F6418"/>
    <w:rsid w:val="00601855"/>
    <w:rsid w:val="00604FE9"/>
    <w:rsid w:val="00605E2F"/>
    <w:rsid w:val="006060C2"/>
    <w:rsid w:val="0060755E"/>
    <w:rsid w:val="00610202"/>
    <w:rsid w:val="0061075E"/>
    <w:rsid w:val="00613C6B"/>
    <w:rsid w:val="00614665"/>
    <w:rsid w:val="00614B9A"/>
    <w:rsid w:val="00617427"/>
    <w:rsid w:val="006231F3"/>
    <w:rsid w:val="006244EC"/>
    <w:rsid w:val="00624A5B"/>
    <w:rsid w:val="00626874"/>
    <w:rsid w:val="006330EA"/>
    <w:rsid w:val="00635299"/>
    <w:rsid w:val="00636C6F"/>
    <w:rsid w:val="00640844"/>
    <w:rsid w:val="00641534"/>
    <w:rsid w:val="00644A73"/>
    <w:rsid w:val="00647C44"/>
    <w:rsid w:val="00656F9C"/>
    <w:rsid w:val="006575F9"/>
    <w:rsid w:val="006630B7"/>
    <w:rsid w:val="0066511C"/>
    <w:rsid w:val="00665B4D"/>
    <w:rsid w:val="00666626"/>
    <w:rsid w:val="006667AE"/>
    <w:rsid w:val="00667AA4"/>
    <w:rsid w:val="006717FD"/>
    <w:rsid w:val="00676722"/>
    <w:rsid w:val="00676EFA"/>
    <w:rsid w:val="00677583"/>
    <w:rsid w:val="00677CA5"/>
    <w:rsid w:val="00680B5A"/>
    <w:rsid w:val="0068394F"/>
    <w:rsid w:val="00684E73"/>
    <w:rsid w:val="00686DC3"/>
    <w:rsid w:val="00687825"/>
    <w:rsid w:val="006925A1"/>
    <w:rsid w:val="00692769"/>
    <w:rsid w:val="00692804"/>
    <w:rsid w:val="00693007"/>
    <w:rsid w:val="006960C2"/>
    <w:rsid w:val="006A0444"/>
    <w:rsid w:val="006A188E"/>
    <w:rsid w:val="006A57D4"/>
    <w:rsid w:val="006B19A6"/>
    <w:rsid w:val="006B2B84"/>
    <w:rsid w:val="006C1639"/>
    <w:rsid w:val="006C3221"/>
    <w:rsid w:val="006D0F5F"/>
    <w:rsid w:val="006D2933"/>
    <w:rsid w:val="006E031B"/>
    <w:rsid w:val="006E1532"/>
    <w:rsid w:val="006E1C49"/>
    <w:rsid w:val="006E28A5"/>
    <w:rsid w:val="006E3132"/>
    <w:rsid w:val="006E5AF2"/>
    <w:rsid w:val="006E6A45"/>
    <w:rsid w:val="006E6F0A"/>
    <w:rsid w:val="006F04B0"/>
    <w:rsid w:val="006F18D5"/>
    <w:rsid w:val="006F3629"/>
    <w:rsid w:val="006F3994"/>
    <w:rsid w:val="006F468B"/>
    <w:rsid w:val="006F62EE"/>
    <w:rsid w:val="00701F57"/>
    <w:rsid w:val="007052AC"/>
    <w:rsid w:val="00705464"/>
    <w:rsid w:val="00706F67"/>
    <w:rsid w:val="0070707C"/>
    <w:rsid w:val="00707F34"/>
    <w:rsid w:val="00712AF9"/>
    <w:rsid w:val="007211B3"/>
    <w:rsid w:val="007232DD"/>
    <w:rsid w:val="00723333"/>
    <w:rsid w:val="00723A08"/>
    <w:rsid w:val="007251C1"/>
    <w:rsid w:val="00726AB4"/>
    <w:rsid w:val="00730373"/>
    <w:rsid w:val="00731A9B"/>
    <w:rsid w:val="00734A04"/>
    <w:rsid w:val="00736503"/>
    <w:rsid w:val="0073783D"/>
    <w:rsid w:val="00744876"/>
    <w:rsid w:val="00745DCF"/>
    <w:rsid w:val="007477C6"/>
    <w:rsid w:val="00750123"/>
    <w:rsid w:val="00751675"/>
    <w:rsid w:val="00752303"/>
    <w:rsid w:val="00755061"/>
    <w:rsid w:val="007571B8"/>
    <w:rsid w:val="007605A6"/>
    <w:rsid w:val="007612C7"/>
    <w:rsid w:val="00761496"/>
    <w:rsid w:val="007616CD"/>
    <w:rsid w:val="00761DBB"/>
    <w:rsid w:val="00763AB9"/>
    <w:rsid w:val="00765527"/>
    <w:rsid w:val="00765D80"/>
    <w:rsid w:val="00766734"/>
    <w:rsid w:val="00766EED"/>
    <w:rsid w:val="007672A3"/>
    <w:rsid w:val="00767DDD"/>
    <w:rsid w:val="00775174"/>
    <w:rsid w:val="0077785B"/>
    <w:rsid w:val="00777A8A"/>
    <w:rsid w:val="00780B6B"/>
    <w:rsid w:val="00783DE2"/>
    <w:rsid w:val="0078400D"/>
    <w:rsid w:val="00784577"/>
    <w:rsid w:val="0078729B"/>
    <w:rsid w:val="00787CFD"/>
    <w:rsid w:val="007902D3"/>
    <w:rsid w:val="00793E56"/>
    <w:rsid w:val="00795B4A"/>
    <w:rsid w:val="007974D5"/>
    <w:rsid w:val="00797B72"/>
    <w:rsid w:val="007A1342"/>
    <w:rsid w:val="007A1743"/>
    <w:rsid w:val="007A3FC1"/>
    <w:rsid w:val="007A41B4"/>
    <w:rsid w:val="007A684A"/>
    <w:rsid w:val="007A704C"/>
    <w:rsid w:val="007B06D8"/>
    <w:rsid w:val="007B1D95"/>
    <w:rsid w:val="007B224A"/>
    <w:rsid w:val="007B3D9E"/>
    <w:rsid w:val="007B5F5A"/>
    <w:rsid w:val="007B63F2"/>
    <w:rsid w:val="007B684F"/>
    <w:rsid w:val="007B7761"/>
    <w:rsid w:val="007C07A4"/>
    <w:rsid w:val="007C13C0"/>
    <w:rsid w:val="007C63EC"/>
    <w:rsid w:val="007C6705"/>
    <w:rsid w:val="007C7542"/>
    <w:rsid w:val="007D0129"/>
    <w:rsid w:val="007D20CA"/>
    <w:rsid w:val="007D43F2"/>
    <w:rsid w:val="007D4408"/>
    <w:rsid w:val="007D5651"/>
    <w:rsid w:val="007D5813"/>
    <w:rsid w:val="007D7692"/>
    <w:rsid w:val="007D7930"/>
    <w:rsid w:val="007E1F86"/>
    <w:rsid w:val="007E26D4"/>
    <w:rsid w:val="007E4499"/>
    <w:rsid w:val="007E5582"/>
    <w:rsid w:val="007E6EC4"/>
    <w:rsid w:val="007E784B"/>
    <w:rsid w:val="007F026A"/>
    <w:rsid w:val="007F10C0"/>
    <w:rsid w:val="007F5B13"/>
    <w:rsid w:val="00800DA5"/>
    <w:rsid w:val="0080177E"/>
    <w:rsid w:val="008033C9"/>
    <w:rsid w:val="0080457E"/>
    <w:rsid w:val="00814337"/>
    <w:rsid w:val="008161C6"/>
    <w:rsid w:val="008179D7"/>
    <w:rsid w:val="00820D28"/>
    <w:rsid w:val="008218E9"/>
    <w:rsid w:val="00823B3F"/>
    <w:rsid w:val="0082506E"/>
    <w:rsid w:val="0082741E"/>
    <w:rsid w:val="00827F8F"/>
    <w:rsid w:val="00832487"/>
    <w:rsid w:val="00832614"/>
    <w:rsid w:val="0083383A"/>
    <w:rsid w:val="00834CCC"/>
    <w:rsid w:val="008414A3"/>
    <w:rsid w:val="00841F97"/>
    <w:rsid w:val="0084253E"/>
    <w:rsid w:val="008437B4"/>
    <w:rsid w:val="00844606"/>
    <w:rsid w:val="0085016F"/>
    <w:rsid w:val="0085153A"/>
    <w:rsid w:val="00852557"/>
    <w:rsid w:val="00857315"/>
    <w:rsid w:val="00861ED1"/>
    <w:rsid w:val="00862A00"/>
    <w:rsid w:val="00864064"/>
    <w:rsid w:val="00866B20"/>
    <w:rsid w:val="00867BF5"/>
    <w:rsid w:val="008716BA"/>
    <w:rsid w:val="0087214D"/>
    <w:rsid w:val="00872517"/>
    <w:rsid w:val="0087529D"/>
    <w:rsid w:val="00876A75"/>
    <w:rsid w:val="008776B4"/>
    <w:rsid w:val="008803E8"/>
    <w:rsid w:val="008823F6"/>
    <w:rsid w:val="00882F9A"/>
    <w:rsid w:val="008852CB"/>
    <w:rsid w:val="00885696"/>
    <w:rsid w:val="0088645D"/>
    <w:rsid w:val="008869A8"/>
    <w:rsid w:val="00893545"/>
    <w:rsid w:val="00894981"/>
    <w:rsid w:val="00895DEE"/>
    <w:rsid w:val="00896588"/>
    <w:rsid w:val="00896950"/>
    <w:rsid w:val="008A2BA0"/>
    <w:rsid w:val="008A3608"/>
    <w:rsid w:val="008A6D34"/>
    <w:rsid w:val="008A6F07"/>
    <w:rsid w:val="008A7EBF"/>
    <w:rsid w:val="008C127E"/>
    <w:rsid w:val="008D6DF8"/>
    <w:rsid w:val="008D6E09"/>
    <w:rsid w:val="008E0D4A"/>
    <w:rsid w:val="008E2090"/>
    <w:rsid w:val="008E2C91"/>
    <w:rsid w:val="008E4AC0"/>
    <w:rsid w:val="008F0280"/>
    <w:rsid w:val="008F3326"/>
    <w:rsid w:val="008F35CE"/>
    <w:rsid w:val="008F6C39"/>
    <w:rsid w:val="008F7061"/>
    <w:rsid w:val="0090108D"/>
    <w:rsid w:val="009014C8"/>
    <w:rsid w:val="00901B84"/>
    <w:rsid w:val="009052C9"/>
    <w:rsid w:val="00906095"/>
    <w:rsid w:val="00907891"/>
    <w:rsid w:val="00911681"/>
    <w:rsid w:val="0091237B"/>
    <w:rsid w:val="00913CBF"/>
    <w:rsid w:val="00916D05"/>
    <w:rsid w:val="00916F9D"/>
    <w:rsid w:val="0092158A"/>
    <w:rsid w:val="00926267"/>
    <w:rsid w:val="009322F4"/>
    <w:rsid w:val="009354C2"/>
    <w:rsid w:val="00935592"/>
    <w:rsid w:val="00937667"/>
    <w:rsid w:val="00942266"/>
    <w:rsid w:val="009428D6"/>
    <w:rsid w:val="00944A60"/>
    <w:rsid w:val="009450DA"/>
    <w:rsid w:val="009453BC"/>
    <w:rsid w:val="009503C6"/>
    <w:rsid w:val="0095407D"/>
    <w:rsid w:val="009543BF"/>
    <w:rsid w:val="009545B4"/>
    <w:rsid w:val="00955220"/>
    <w:rsid w:val="00955701"/>
    <w:rsid w:val="009558F3"/>
    <w:rsid w:val="009576F5"/>
    <w:rsid w:val="00961780"/>
    <w:rsid w:val="009623E1"/>
    <w:rsid w:val="00962E38"/>
    <w:rsid w:val="00970D3F"/>
    <w:rsid w:val="00972AAC"/>
    <w:rsid w:val="0097498F"/>
    <w:rsid w:val="009766EB"/>
    <w:rsid w:val="009770AA"/>
    <w:rsid w:val="00981935"/>
    <w:rsid w:val="00981BBE"/>
    <w:rsid w:val="009963AE"/>
    <w:rsid w:val="00996EF5"/>
    <w:rsid w:val="00997F5D"/>
    <w:rsid w:val="009A1C9E"/>
    <w:rsid w:val="009A2444"/>
    <w:rsid w:val="009A2AE8"/>
    <w:rsid w:val="009A3405"/>
    <w:rsid w:val="009A37C2"/>
    <w:rsid w:val="009A4497"/>
    <w:rsid w:val="009A46D3"/>
    <w:rsid w:val="009A6DA1"/>
    <w:rsid w:val="009A7C54"/>
    <w:rsid w:val="009B0E7F"/>
    <w:rsid w:val="009B7AE7"/>
    <w:rsid w:val="009B7D12"/>
    <w:rsid w:val="009C1EC8"/>
    <w:rsid w:val="009C34B8"/>
    <w:rsid w:val="009C52B0"/>
    <w:rsid w:val="009D04CD"/>
    <w:rsid w:val="009D4E2F"/>
    <w:rsid w:val="009E0976"/>
    <w:rsid w:val="009E2C52"/>
    <w:rsid w:val="009E3279"/>
    <w:rsid w:val="009E67C5"/>
    <w:rsid w:val="009E74EC"/>
    <w:rsid w:val="009F64CC"/>
    <w:rsid w:val="009F6F90"/>
    <w:rsid w:val="009F71ED"/>
    <w:rsid w:val="009F7845"/>
    <w:rsid w:val="00A00C97"/>
    <w:rsid w:val="00A050F9"/>
    <w:rsid w:val="00A05180"/>
    <w:rsid w:val="00A06888"/>
    <w:rsid w:val="00A1021A"/>
    <w:rsid w:val="00A103FB"/>
    <w:rsid w:val="00A109F8"/>
    <w:rsid w:val="00A152AE"/>
    <w:rsid w:val="00A16BA5"/>
    <w:rsid w:val="00A223FD"/>
    <w:rsid w:val="00A236C8"/>
    <w:rsid w:val="00A246A6"/>
    <w:rsid w:val="00A2517A"/>
    <w:rsid w:val="00A2642E"/>
    <w:rsid w:val="00A27804"/>
    <w:rsid w:val="00A30B24"/>
    <w:rsid w:val="00A30BCA"/>
    <w:rsid w:val="00A30DA2"/>
    <w:rsid w:val="00A30DAD"/>
    <w:rsid w:val="00A31D97"/>
    <w:rsid w:val="00A32891"/>
    <w:rsid w:val="00A34988"/>
    <w:rsid w:val="00A364B2"/>
    <w:rsid w:val="00A40781"/>
    <w:rsid w:val="00A40C40"/>
    <w:rsid w:val="00A4311A"/>
    <w:rsid w:val="00A45077"/>
    <w:rsid w:val="00A509AD"/>
    <w:rsid w:val="00A51AA5"/>
    <w:rsid w:val="00A54FE6"/>
    <w:rsid w:val="00A54FFC"/>
    <w:rsid w:val="00A5652D"/>
    <w:rsid w:val="00A60B91"/>
    <w:rsid w:val="00A61741"/>
    <w:rsid w:val="00A64EF9"/>
    <w:rsid w:val="00A66C16"/>
    <w:rsid w:val="00A67E7C"/>
    <w:rsid w:val="00A717E0"/>
    <w:rsid w:val="00A722CB"/>
    <w:rsid w:val="00A7447E"/>
    <w:rsid w:val="00A75A54"/>
    <w:rsid w:val="00A769A9"/>
    <w:rsid w:val="00A8345E"/>
    <w:rsid w:val="00A85234"/>
    <w:rsid w:val="00A878C3"/>
    <w:rsid w:val="00A941AF"/>
    <w:rsid w:val="00A94540"/>
    <w:rsid w:val="00A94C8B"/>
    <w:rsid w:val="00A96723"/>
    <w:rsid w:val="00AA05D9"/>
    <w:rsid w:val="00AA3A20"/>
    <w:rsid w:val="00AA7390"/>
    <w:rsid w:val="00AB0776"/>
    <w:rsid w:val="00AB08EA"/>
    <w:rsid w:val="00AB16BD"/>
    <w:rsid w:val="00AB196F"/>
    <w:rsid w:val="00AB1A40"/>
    <w:rsid w:val="00AB2688"/>
    <w:rsid w:val="00AB2BD5"/>
    <w:rsid w:val="00AB4491"/>
    <w:rsid w:val="00AB4D25"/>
    <w:rsid w:val="00AB53F7"/>
    <w:rsid w:val="00AB60D7"/>
    <w:rsid w:val="00AC060A"/>
    <w:rsid w:val="00AC1654"/>
    <w:rsid w:val="00AC4D29"/>
    <w:rsid w:val="00AD2FFD"/>
    <w:rsid w:val="00AD5047"/>
    <w:rsid w:val="00AD75AA"/>
    <w:rsid w:val="00AE12C7"/>
    <w:rsid w:val="00AE14CB"/>
    <w:rsid w:val="00AE217F"/>
    <w:rsid w:val="00AE2AF2"/>
    <w:rsid w:val="00AE457D"/>
    <w:rsid w:val="00AE55C0"/>
    <w:rsid w:val="00AE617C"/>
    <w:rsid w:val="00AE66D6"/>
    <w:rsid w:val="00AE7F24"/>
    <w:rsid w:val="00AF0A6E"/>
    <w:rsid w:val="00AF1D9D"/>
    <w:rsid w:val="00AF3D5C"/>
    <w:rsid w:val="00AF59E1"/>
    <w:rsid w:val="00AF6DFA"/>
    <w:rsid w:val="00B00791"/>
    <w:rsid w:val="00B06834"/>
    <w:rsid w:val="00B070B7"/>
    <w:rsid w:val="00B072C8"/>
    <w:rsid w:val="00B118F2"/>
    <w:rsid w:val="00B13E21"/>
    <w:rsid w:val="00B16BCF"/>
    <w:rsid w:val="00B215F3"/>
    <w:rsid w:val="00B22A30"/>
    <w:rsid w:val="00B2403C"/>
    <w:rsid w:val="00B2426C"/>
    <w:rsid w:val="00B26294"/>
    <w:rsid w:val="00B275FA"/>
    <w:rsid w:val="00B30196"/>
    <w:rsid w:val="00B32B2B"/>
    <w:rsid w:val="00B3544A"/>
    <w:rsid w:val="00B41613"/>
    <w:rsid w:val="00B44677"/>
    <w:rsid w:val="00B46D7E"/>
    <w:rsid w:val="00B47977"/>
    <w:rsid w:val="00B61DED"/>
    <w:rsid w:val="00B63C36"/>
    <w:rsid w:val="00B65B55"/>
    <w:rsid w:val="00B66D57"/>
    <w:rsid w:val="00B70C77"/>
    <w:rsid w:val="00B74CAF"/>
    <w:rsid w:val="00B763F1"/>
    <w:rsid w:val="00B77873"/>
    <w:rsid w:val="00B802A1"/>
    <w:rsid w:val="00B8043A"/>
    <w:rsid w:val="00B84CED"/>
    <w:rsid w:val="00B85085"/>
    <w:rsid w:val="00B85538"/>
    <w:rsid w:val="00B86965"/>
    <w:rsid w:val="00B923EE"/>
    <w:rsid w:val="00B94AAA"/>
    <w:rsid w:val="00BA0A20"/>
    <w:rsid w:val="00BA0FE6"/>
    <w:rsid w:val="00BA1220"/>
    <w:rsid w:val="00BA1434"/>
    <w:rsid w:val="00BA23E3"/>
    <w:rsid w:val="00BA6703"/>
    <w:rsid w:val="00BB272B"/>
    <w:rsid w:val="00BB5AB5"/>
    <w:rsid w:val="00BB7AC9"/>
    <w:rsid w:val="00BC02B9"/>
    <w:rsid w:val="00BC0588"/>
    <w:rsid w:val="00BC29E6"/>
    <w:rsid w:val="00BC3C57"/>
    <w:rsid w:val="00BC3FF0"/>
    <w:rsid w:val="00BC69C8"/>
    <w:rsid w:val="00BD2B87"/>
    <w:rsid w:val="00BD33D5"/>
    <w:rsid w:val="00BD38C9"/>
    <w:rsid w:val="00BD6329"/>
    <w:rsid w:val="00BD64F5"/>
    <w:rsid w:val="00BD7383"/>
    <w:rsid w:val="00BE0FDE"/>
    <w:rsid w:val="00BE140B"/>
    <w:rsid w:val="00BE4357"/>
    <w:rsid w:val="00BE5080"/>
    <w:rsid w:val="00BF2DF8"/>
    <w:rsid w:val="00BF3063"/>
    <w:rsid w:val="00BF4F90"/>
    <w:rsid w:val="00BF7189"/>
    <w:rsid w:val="00C0003C"/>
    <w:rsid w:val="00C014F6"/>
    <w:rsid w:val="00C01DA2"/>
    <w:rsid w:val="00C03015"/>
    <w:rsid w:val="00C04438"/>
    <w:rsid w:val="00C04BFE"/>
    <w:rsid w:val="00C05286"/>
    <w:rsid w:val="00C06785"/>
    <w:rsid w:val="00C06C1B"/>
    <w:rsid w:val="00C07E8D"/>
    <w:rsid w:val="00C11B80"/>
    <w:rsid w:val="00C12BD3"/>
    <w:rsid w:val="00C16CFA"/>
    <w:rsid w:val="00C203FC"/>
    <w:rsid w:val="00C20D04"/>
    <w:rsid w:val="00C21D9F"/>
    <w:rsid w:val="00C22E39"/>
    <w:rsid w:val="00C23226"/>
    <w:rsid w:val="00C2391F"/>
    <w:rsid w:val="00C27847"/>
    <w:rsid w:val="00C315B9"/>
    <w:rsid w:val="00C31BFE"/>
    <w:rsid w:val="00C325B1"/>
    <w:rsid w:val="00C34176"/>
    <w:rsid w:val="00C35CF5"/>
    <w:rsid w:val="00C36035"/>
    <w:rsid w:val="00C360CF"/>
    <w:rsid w:val="00C367F9"/>
    <w:rsid w:val="00C4261F"/>
    <w:rsid w:val="00C453DF"/>
    <w:rsid w:val="00C45720"/>
    <w:rsid w:val="00C519BE"/>
    <w:rsid w:val="00C5256F"/>
    <w:rsid w:val="00C54098"/>
    <w:rsid w:val="00C55755"/>
    <w:rsid w:val="00C56EFB"/>
    <w:rsid w:val="00C574CB"/>
    <w:rsid w:val="00C608E1"/>
    <w:rsid w:val="00C658BA"/>
    <w:rsid w:val="00C66527"/>
    <w:rsid w:val="00C673F9"/>
    <w:rsid w:val="00C67AE8"/>
    <w:rsid w:val="00C67E23"/>
    <w:rsid w:val="00C72A7C"/>
    <w:rsid w:val="00C72BF9"/>
    <w:rsid w:val="00C7399D"/>
    <w:rsid w:val="00C7403C"/>
    <w:rsid w:val="00C7695A"/>
    <w:rsid w:val="00C7728C"/>
    <w:rsid w:val="00C802C1"/>
    <w:rsid w:val="00C822C2"/>
    <w:rsid w:val="00C86407"/>
    <w:rsid w:val="00C9149E"/>
    <w:rsid w:val="00C948F4"/>
    <w:rsid w:val="00C95242"/>
    <w:rsid w:val="00C966FA"/>
    <w:rsid w:val="00C96AD2"/>
    <w:rsid w:val="00CA1866"/>
    <w:rsid w:val="00CA199C"/>
    <w:rsid w:val="00CA296C"/>
    <w:rsid w:val="00CA4DFC"/>
    <w:rsid w:val="00CA67FF"/>
    <w:rsid w:val="00CB1209"/>
    <w:rsid w:val="00CB1442"/>
    <w:rsid w:val="00CB2FEF"/>
    <w:rsid w:val="00CB3BBD"/>
    <w:rsid w:val="00CB49FA"/>
    <w:rsid w:val="00CB6953"/>
    <w:rsid w:val="00CB7B52"/>
    <w:rsid w:val="00CC2BB7"/>
    <w:rsid w:val="00CC617F"/>
    <w:rsid w:val="00CC6960"/>
    <w:rsid w:val="00CD24EE"/>
    <w:rsid w:val="00CD2859"/>
    <w:rsid w:val="00CD5047"/>
    <w:rsid w:val="00CE0BFD"/>
    <w:rsid w:val="00CE1B6F"/>
    <w:rsid w:val="00CE4DE3"/>
    <w:rsid w:val="00CE5A75"/>
    <w:rsid w:val="00CE6A4C"/>
    <w:rsid w:val="00CF15D4"/>
    <w:rsid w:val="00CF3A0B"/>
    <w:rsid w:val="00CF59F1"/>
    <w:rsid w:val="00CF5F15"/>
    <w:rsid w:val="00D00F19"/>
    <w:rsid w:val="00D00F99"/>
    <w:rsid w:val="00D026CF"/>
    <w:rsid w:val="00D030A0"/>
    <w:rsid w:val="00D1062D"/>
    <w:rsid w:val="00D13958"/>
    <w:rsid w:val="00D15898"/>
    <w:rsid w:val="00D169AE"/>
    <w:rsid w:val="00D17C3F"/>
    <w:rsid w:val="00D2376A"/>
    <w:rsid w:val="00D246F8"/>
    <w:rsid w:val="00D24990"/>
    <w:rsid w:val="00D258EC"/>
    <w:rsid w:val="00D25FF9"/>
    <w:rsid w:val="00D27403"/>
    <w:rsid w:val="00D305C0"/>
    <w:rsid w:val="00D32EED"/>
    <w:rsid w:val="00D3301D"/>
    <w:rsid w:val="00D35EEF"/>
    <w:rsid w:val="00D405E9"/>
    <w:rsid w:val="00D406E9"/>
    <w:rsid w:val="00D434C0"/>
    <w:rsid w:val="00D43B09"/>
    <w:rsid w:val="00D43BC8"/>
    <w:rsid w:val="00D463C2"/>
    <w:rsid w:val="00D5082E"/>
    <w:rsid w:val="00D54904"/>
    <w:rsid w:val="00D54FA2"/>
    <w:rsid w:val="00D55555"/>
    <w:rsid w:val="00D55B21"/>
    <w:rsid w:val="00D566A9"/>
    <w:rsid w:val="00D60642"/>
    <w:rsid w:val="00D615FF"/>
    <w:rsid w:val="00D67F2F"/>
    <w:rsid w:val="00D73C44"/>
    <w:rsid w:val="00D80D27"/>
    <w:rsid w:val="00D811FB"/>
    <w:rsid w:val="00D8140E"/>
    <w:rsid w:val="00D83AF9"/>
    <w:rsid w:val="00D85C63"/>
    <w:rsid w:val="00D9084D"/>
    <w:rsid w:val="00D91251"/>
    <w:rsid w:val="00D93E04"/>
    <w:rsid w:val="00DA0D86"/>
    <w:rsid w:val="00DA12E3"/>
    <w:rsid w:val="00DA2267"/>
    <w:rsid w:val="00DA455A"/>
    <w:rsid w:val="00DA5E02"/>
    <w:rsid w:val="00DA63A0"/>
    <w:rsid w:val="00DA7990"/>
    <w:rsid w:val="00DB292C"/>
    <w:rsid w:val="00DB3338"/>
    <w:rsid w:val="00DB52C9"/>
    <w:rsid w:val="00DB5DA8"/>
    <w:rsid w:val="00DB674A"/>
    <w:rsid w:val="00DB7789"/>
    <w:rsid w:val="00DC034C"/>
    <w:rsid w:val="00DC1EE7"/>
    <w:rsid w:val="00DC1EEB"/>
    <w:rsid w:val="00DC2CE0"/>
    <w:rsid w:val="00DC2ED9"/>
    <w:rsid w:val="00DC30CC"/>
    <w:rsid w:val="00DC3F09"/>
    <w:rsid w:val="00DC49B5"/>
    <w:rsid w:val="00DD2C64"/>
    <w:rsid w:val="00DD5B6C"/>
    <w:rsid w:val="00DD6F64"/>
    <w:rsid w:val="00DD7707"/>
    <w:rsid w:val="00DD7FBD"/>
    <w:rsid w:val="00DE0986"/>
    <w:rsid w:val="00DE32FA"/>
    <w:rsid w:val="00DE3E2B"/>
    <w:rsid w:val="00DE4B34"/>
    <w:rsid w:val="00DE635F"/>
    <w:rsid w:val="00DF0B39"/>
    <w:rsid w:val="00DF0CB9"/>
    <w:rsid w:val="00DF27A5"/>
    <w:rsid w:val="00DF4350"/>
    <w:rsid w:val="00DF5DDB"/>
    <w:rsid w:val="00DF5F91"/>
    <w:rsid w:val="00E00111"/>
    <w:rsid w:val="00E01903"/>
    <w:rsid w:val="00E04992"/>
    <w:rsid w:val="00E04CFE"/>
    <w:rsid w:val="00E14A60"/>
    <w:rsid w:val="00E14F22"/>
    <w:rsid w:val="00E1649D"/>
    <w:rsid w:val="00E16A64"/>
    <w:rsid w:val="00E20B75"/>
    <w:rsid w:val="00E21923"/>
    <w:rsid w:val="00E24691"/>
    <w:rsid w:val="00E30435"/>
    <w:rsid w:val="00E34852"/>
    <w:rsid w:val="00E3581F"/>
    <w:rsid w:val="00E358A2"/>
    <w:rsid w:val="00E37E95"/>
    <w:rsid w:val="00E408C4"/>
    <w:rsid w:val="00E43488"/>
    <w:rsid w:val="00E44066"/>
    <w:rsid w:val="00E440A2"/>
    <w:rsid w:val="00E524EF"/>
    <w:rsid w:val="00E5369E"/>
    <w:rsid w:val="00E54A4F"/>
    <w:rsid w:val="00E72FC8"/>
    <w:rsid w:val="00E75A6B"/>
    <w:rsid w:val="00E77259"/>
    <w:rsid w:val="00E7774A"/>
    <w:rsid w:val="00E80B45"/>
    <w:rsid w:val="00E83E2E"/>
    <w:rsid w:val="00E86A31"/>
    <w:rsid w:val="00E87CDF"/>
    <w:rsid w:val="00E91061"/>
    <w:rsid w:val="00E9151D"/>
    <w:rsid w:val="00E9182F"/>
    <w:rsid w:val="00E91CA5"/>
    <w:rsid w:val="00E92139"/>
    <w:rsid w:val="00E93235"/>
    <w:rsid w:val="00E93B37"/>
    <w:rsid w:val="00E944C7"/>
    <w:rsid w:val="00E97212"/>
    <w:rsid w:val="00E976C5"/>
    <w:rsid w:val="00E9773F"/>
    <w:rsid w:val="00EA3B0E"/>
    <w:rsid w:val="00EA5E10"/>
    <w:rsid w:val="00EA6359"/>
    <w:rsid w:val="00EB1B62"/>
    <w:rsid w:val="00EB1D78"/>
    <w:rsid w:val="00EB2E2E"/>
    <w:rsid w:val="00EB336B"/>
    <w:rsid w:val="00EB6D73"/>
    <w:rsid w:val="00EC0650"/>
    <w:rsid w:val="00EC39CD"/>
    <w:rsid w:val="00EC498C"/>
    <w:rsid w:val="00EC6C7A"/>
    <w:rsid w:val="00EC6E3A"/>
    <w:rsid w:val="00ED07ED"/>
    <w:rsid w:val="00ED7C7F"/>
    <w:rsid w:val="00EE1A9E"/>
    <w:rsid w:val="00EE4898"/>
    <w:rsid w:val="00EE7F19"/>
    <w:rsid w:val="00EF07EC"/>
    <w:rsid w:val="00EF38D3"/>
    <w:rsid w:val="00EF79E4"/>
    <w:rsid w:val="00F00411"/>
    <w:rsid w:val="00F117A6"/>
    <w:rsid w:val="00F11FC1"/>
    <w:rsid w:val="00F12F8F"/>
    <w:rsid w:val="00F13C63"/>
    <w:rsid w:val="00F14DA0"/>
    <w:rsid w:val="00F14ED6"/>
    <w:rsid w:val="00F158AD"/>
    <w:rsid w:val="00F20575"/>
    <w:rsid w:val="00F20C03"/>
    <w:rsid w:val="00F23BB5"/>
    <w:rsid w:val="00F2787D"/>
    <w:rsid w:val="00F30BE7"/>
    <w:rsid w:val="00F31058"/>
    <w:rsid w:val="00F32664"/>
    <w:rsid w:val="00F331BD"/>
    <w:rsid w:val="00F33561"/>
    <w:rsid w:val="00F3701F"/>
    <w:rsid w:val="00F37057"/>
    <w:rsid w:val="00F37FCB"/>
    <w:rsid w:val="00F41D1B"/>
    <w:rsid w:val="00F43EEC"/>
    <w:rsid w:val="00F476DC"/>
    <w:rsid w:val="00F50502"/>
    <w:rsid w:val="00F5585D"/>
    <w:rsid w:val="00F5769D"/>
    <w:rsid w:val="00F57DE2"/>
    <w:rsid w:val="00F60EBC"/>
    <w:rsid w:val="00F610F0"/>
    <w:rsid w:val="00F61DAB"/>
    <w:rsid w:val="00F62B84"/>
    <w:rsid w:val="00F667BA"/>
    <w:rsid w:val="00F702D6"/>
    <w:rsid w:val="00F730B3"/>
    <w:rsid w:val="00F76B72"/>
    <w:rsid w:val="00F816D2"/>
    <w:rsid w:val="00F82C2A"/>
    <w:rsid w:val="00F83D20"/>
    <w:rsid w:val="00F840E4"/>
    <w:rsid w:val="00F854B1"/>
    <w:rsid w:val="00F86414"/>
    <w:rsid w:val="00F8682C"/>
    <w:rsid w:val="00F9033D"/>
    <w:rsid w:val="00F9087D"/>
    <w:rsid w:val="00F910F7"/>
    <w:rsid w:val="00F95625"/>
    <w:rsid w:val="00F96041"/>
    <w:rsid w:val="00F9624D"/>
    <w:rsid w:val="00F97367"/>
    <w:rsid w:val="00FA3139"/>
    <w:rsid w:val="00FA69A4"/>
    <w:rsid w:val="00FA7419"/>
    <w:rsid w:val="00FA7DAF"/>
    <w:rsid w:val="00FB47F9"/>
    <w:rsid w:val="00FB561E"/>
    <w:rsid w:val="00FB6D92"/>
    <w:rsid w:val="00FB781F"/>
    <w:rsid w:val="00FB7CBD"/>
    <w:rsid w:val="00FD169E"/>
    <w:rsid w:val="00FD3B4A"/>
    <w:rsid w:val="00FD5B1D"/>
    <w:rsid w:val="00FD69EF"/>
    <w:rsid w:val="00FD6DC4"/>
    <w:rsid w:val="00FE2EBA"/>
    <w:rsid w:val="00FE4455"/>
    <w:rsid w:val="00FE6E2A"/>
    <w:rsid w:val="00FE6E52"/>
    <w:rsid w:val="00FF23F5"/>
    <w:rsid w:val="00FF294E"/>
    <w:rsid w:val="00FF3034"/>
    <w:rsid w:val="00FF447F"/>
    <w:rsid w:val="00FF5E0F"/>
    <w:rsid w:val="00FF6C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5CCCC923"/>
  <w15:docId w15:val="{0898D486-4377-4C43-BF45-A2A2A9EEA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6"/>
        <w:szCs w:val="26"/>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E0F"/>
    <w:pPr>
      <w:widowControl w:val="0"/>
      <w:autoSpaceDE w:val="0"/>
      <w:autoSpaceDN w:val="0"/>
      <w:adjustRightInd w:val="0"/>
    </w:pPr>
  </w:style>
  <w:style w:type="paragraph" w:styleId="Heading1">
    <w:name w:val="heading 1"/>
    <w:basedOn w:val="Normal"/>
    <w:next w:val="FERCparanumber"/>
    <w:link w:val="Heading1Char"/>
    <w:qFormat/>
    <w:rsid w:val="000C751C"/>
    <w:pPr>
      <w:keepNext/>
      <w:keepLines/>
      <w:widowControl/>
      <w:numPr>
        <w:numId w:val="32"/>
      </w:numPr>
      <w:spacing w:after="260"/>
      <w:outlineLvl w:val="0"/>
    </w:pPr>
    <w:rPr>
      <w:b/>
      <w:bCs/>
      <w:kern w:val="32"/>
      <w:szCs w:val="32"/>
      <w:u w:val="single"/>
    </w:rPr>
  </w:style>
  <w:style w:type="paragraph" w:styleId="Heading2">
    <w:name w:val="heading 2"/>
    <w:basedOn w:val="Normal"/>
    <w:next w:val="FERCparanumber"/>
    <w:qFormat/>
    <w:rsid w:val="000C751C"/>
    <w:pPr>
      <w:keepNext/>
      <w:keepLines/>
      <w:widowControl/>
      <w:numPr>
        <w:ilvl w:val="1"/>
        <w:numId w:val="32"/>
      </w:numPr>
      <w:spacing w:after="260"/>
      <w:outlineLvl w:val="1"/>
    </w:pPr>
    <w:rPr>
      <w:b/>
      <w:bCs/>
      <w:iCs/>
      <w:kern w:val="32"/>
      <w:szCs w:val="28"/>
      <w:u w:val="single"/>
    </w:rPr>
  </w:style>
  <w:style w:type="paragraph" w:styleId="Heading3">
    <w:name w:val="heading 3"/>
    <w:basedOn w:val="Normal"/>
    <w:next w:val="FERCparanumber"/>
    <w:qFormat/>
    <w:rsid w:val="000C751C"/>
    <w:pPr>
      <w:keepNext/>
      <w:keepLines/>
      <w:widowControl/>
      <w:numPr>
        <w:ilvl w:val="2"/>
        <w:numId w:val="32"/>
      </w:numPr>
      <w:spacing w:after="260"/>
      <w:outlineLvl w:val="2"/>
    </w:pPr>
    <w:rPr>
      <w:b/>
      <w:bCs/>
      <w:kern w:val="32"/>
      <w:u w:val="single"/>
    </w:rPr>
  </w:style>
  <w:style w:type="paragraph" w:styleId="Heading4">
    <w:name w:val="heading 4"/>
    <w:basedOn w:val="Normal"/>
    <w:next w:val="FERCparanumber"/>
    <w:qFormat/>
    <w:rsid w:val="000C751C"/>
    <w:pPr>
      <w:keepNext/>
      <w:keepLines/>
      <w:widowControl/>
      <w:numPr>
        <w:ilvl w:val="3"/>
        <w:numId w:val="32"/>
      </w:numPr>
      <w:spacing w:after="260"/>
      <w:outlineLvl w:val="3"/>
    </w:pPr>
    <w:rPr>
      <w:b/>
      <w:bCs/>
      <w:kern w:val="32"/>
      <w:szCs w:val="28"/>
      <w:u w:val="single"/>
    </w:rPr>
  </w:style>
  <w:style w:type="paragraph" w:styleId="Heading5">
    <w:name w:val="heading 5"/>
    <w:basedOn w:val="Normal"/>
    <w:next w:val="FERCparanumber"/>
    <w:qFormat/>
    <w:rsid w:val="000C751C"/>
    <w:pPr>
      <w:keepNext/>
      <w:keepLines/>
      <w:widowControl/>
      <w:numPr>
        <w:ilvl w:val="4"/>
        <w:numId w:val="32"/>
      </w:numPr>
      <w:spacing w:after="260"/>
      <w:outlineLvl w:val="4"/>
    </w:pPr>
    <w:rPr>
      <w:b/>
      <w:bCs/>
      <w:iCs/>
      <w:kern w:val="32"/>
      <w:u w:val="single"/>
    </w:rPr>
  </w:style>
  <w:style w:type="paragraph" w:styleId="Heading6">
    <w:name w:val="heading 6"/>
    <w:basedOn w:val="Normal"/>
    <w:next w:val="FERCparanumber"/>
    <w:qFormat/>
    <w:rsid w:val="000C751C"/>
    <w:pPr>
      <w:keepNext/>
      <w:keepLines/>
      <w:widowControl/>
      <w:numPr>
        <w:ilvl w:val="5"/>
        <w:numId w:val="32"/>
      </w:numPr>
      <w:spacing w:after="260"/>
      <w:outlineLvl w:val="5"/>
    </w:pPr>
    <w:rPr>
      <w:b/>
      <w:bCs/>
      <w:kern w:val="32"/>
      <w:szCs w:val="22"/>
      <w:u w:val="single"/>
    </w:rPr>
  </w:style>
  <w:style w:type="paragraph" w:styleId="Heading7">
    <w:name w:val="heading 7"/>
    <w:basedOn w:val="Normal"/>
    <w:next w:val="FERCparanumber"/>
    <w:qFormat/>
    <w:rsid w:val="000C751C"/>
    <w:pPr>
      <w:keepNext/>
      <w:keepLines/>
      <w:widowControl/>
      <w:numPr>
        <w:ilvl w:val="6"/>
        <w:numId w:val="32"/>
      </w:numPr>
      <w:spacing w:after="260"/>
      <w:outlineLvl w:val="6"/>
    </w:pPr>
    <w:rPr>
      <w:b/>
      <w:kern w:val="32"/>
      <w:u w:val="single"/>
    </w:rPr>
  </w:style>
  <w:style w:type="paragraph" w:styleId="Heading8">
    <w:name w:val="heading 8"/>
    <w:basedOn w:val="Normal"/>
    <w:next w:val="FERCparanumber"/>
    <w:qFormat/>
    <w:rsid w:val="000C751C"/>
    <w:pPr>
      <w:keepNext/>
      <w:keepLines/>
      <w:widowControl/>
      <w:numPr>
        <w:ilvl w:val="7"/>
        <w:numId w:val="32"/>
      </w:numPr>
      <w:spacing w:after="260"/>
      <w:outlineLvl w:val="7"/>
    </w:pPr>
    <w:rPr>
      <w:b/>
      <w:iCs/>
      <w:kern w:val="32"/>
      <w:u w:val="single"/>
    </w:rPr>
  </w:style>
  <w:style w:type="paragraph" w:styleId="Heading9">
    <w:name w:val="heading 9"/>
    <w:basedOn w:val="Normal"/>
    <w:next w:val="FERCparanumber"/>
    <w:qFormat/>
    <w:rsid w:val="000C751C"/>
    <w:pPr>
      <w:keepNext/>
      <w:keepLines/>
      <w:widowControl/>
      <w:numPr>
        <w:ilvl w:val="8"/>
        <w:numId w:val="32"/>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1152"/>
    <w:pPr>
      <w:tabs>
        <w:tab w:val="right" w:pos="8640"/>
      </w:tabs>
      <w:spacing w:after="120"/>
    </w:pPr>
  </w:style>
  <w:style w:type="paragraph" w:styleId="Footer">
    <w:name w:val="footer"/>
    <w:basedOn w:val="Normal"/>
    <w:link w:val="FooterChar"/>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01152"/>
    <w:rPr>
      <w:rFonts w:ascii="Tahoma" w:hAnsi="Tahoma" w:cs="Tahoma"/>
      <w:sz w:val="16"/>
      <w:szCs w:val="16"/>
    </w:rPr>
  </w:style>
  <w:style w:type="character" w:customStyle="1" w:styleId="BalloonTextChar">
    <w:name w:val="Balloon Text Char"/>
    <w:basedOn w:val="DefaultParagraphFont"/>
    <w:link w:val="BalloonText"/>
    <w:semiHidden/>
    <w:rsid w:val="001F7FC3"/>
    <w:rPr>
      <w:rFonts w:ascii="Tahoma" w:hAnsi="Tahoma" w:cs="Tahoma"/>
      <w:sz w:val="16"/>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character" w:customStyle="1" w:styleId="a">
    <w:basedOn w:val="DefaultParagraphFont"/>
    <w:rsid w:val="00301152"/>
    <w:rPr>
      <w:sz w:val="26"/>
      <w:lang w:bidi="ar-SA"/>
    </w:rPr>
  </w:style>
  <w:style w:type="paragraph" w:customStyle="1" w:styleId="BodyFootnote">
    <w:name w:val="Body Footnote"/>
    <w:basedOn w:val="Normal"/>
    <w:rsid w:val="00B26294"/>
    <w:pPr>
      <w:widowControl/>
      <w:autoSpaceDE/>
      <w:autoSpaceDN/>
      <w:adjustRightInd/>
      <w:spacing w:after="260"/>
      <w:ind w:firstLine="720"/>
    </w:pPr>
    <w:rPr>
      <w:rFonts w:eastAsiaTheme="minorHAnsi" w:cstheme="minorBidi"/>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301152"/>
    <w:rPr>
      <w:sz w:val="20"/>
      <w:szCs w:val="20"/>
    </w:rPr>
  </w:style>
  <w:style w:type="character" w:customStyle="1" w:styleId="CommentTextChar">
    <w:name w:val="Comment Text Char"/>
    <w:basedOn w:val="DefaultParagraphFont"/>
    <w:link w:val="CommentText"/>
    <w:semiHidden/>
    <w:rsid w:val="00301152"/>
    <w:rPr>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link w:val="FERCparanumberChar"/>
    <w:rsid w:val="00103AE2"/>
    <w:pPr>
      <w:widowControl/>
      <w:numPr>
        <w:numId w:val="37"/>
      </w:numPr>
      <w:autoSpaceDE/>
      <w:autoSpaceDN/>
      <w:adjustRightInd/>
      <w:spacing w:after="260"/>
    </w:pPr>
    <w:rPr>
      <w:rFonts w:eastAsiaTheme="minorHAnsi"/>
      <w:szCs w:val="22"/>
    </w:rPr>
  </w:style>
  <w:style w:type="character" w:customStyle="1" w:styleId="a0">
    <w:basedOn w:val="DefaultParagraphFont"/>
    <w:rsid w:val="001A509E"/>
    <w:rPr>
      <w:b/>
      <w:bCs/>
      <w:kern w:val="32"/>
      <w:sz w:val="26"/>
      <w:szCs w:val="32"/>
      <w:u w:val="single"/>
      <w:lang w:bidi="ar-SA"/>
    </w:rPr>
  </w:style>
  <w:style w:type="character" w:customStyle="1" w:styleId="a1">
    <w:basedOn w:val="DefaultParagraphFont"/>
    <w:rsid w:val="001A509E"/>
    <w:rPr>
      <w:b/>
      <w:bCs/>
      <w:iCs/>
      <w:kern w:val="32"/>
      <w:sz w:val="26"/>
      <w:szCs w:val="28"/>
      <w:u w:val="single"/>
      <w:lang w:bidi="ar-SA"/>
    </w:rPr>
  </w:style>
  <w:style w:type="character" w:customStyle="1" w:styleId="a2">
    <w:basedOn w:val="DefaultParagraphFont"/>
    <w:rsid w:val="001A509E"/>
    <w:rPr>
      <w:b/>
      <w:bCs/>
      <w:kern w:val="32"/>
      <w:sz w:val="26"/>
      <w:szCs w:val="26"/>
      <w:u w:val="single"/>
      <w:lang w:bidi="ar-SA"/>
    </w:rPr>
  </w:style>
  <w:style w:type="character" w:customStyle="1" w:styleId="a3">
    <w:basedOn w:val="DefaultParagraphFont"/>
    <w:rsid w:val="001A509E"/>
    <w:rPr>
      <w:b/>
      <w:bCs/>
      <w:kern w:val="32"/>
      <w:sz w:val="26"/>
      <w:szCs w:val="28"/>
      <w:u w:val="single"/>
      <w:lang w:bidi="ar-SA"/>
    </w:rPr>
  </w:style>
  <w:style w:type="character" w:customStyle="1" w:styleId="a4">
    <w:basedOn w:val="DefaultParagraphFont"/>
    <w:rsid w:val="001A509E"/>
    <w:rPr>
      <w:b/>
      <w:bCs/>
      <w:iCs/>
      <w:kern w:val="32"/>
      <w:sz w:val="26"/>
      <w:szCs w:val="26"/>
      <w:u w:val="single"/>
      <w:lang w:bidi="ar-SA"/>
    </w:rPr>
  </w:style>
  <w:style w:type="character" w:customStyle="1" w:styleId="a5">
    <w:basedOn w:val="DefaultParagraphFont"/>
    <w:rsid w:val="001A509E"/>
    <w:rPr>
      <w:b/>
      <w:bCs/>
      <w:kern w:val="32"/>
      <w:sz w:val="26"/>
      <w:szCs w:val="22"/>
      <w:u w:val="single"/>
      <w:lang w:bidi="ar-SA"/>
    </w:rPr>
  </w:style>
  <w:style w:type="character" w:customStyle="1" w:styleId="a6">
    <w:basedOn w:val="DefaultParagraphFont"/>
    <w:rsid w:val="001A509E"/>
    <w:rPr>
      <w:b/>
      <w:kern w:val="32"/>
      <w:sz w:val="26"/>
      <w:szCs w:val="24"/>
      <w:u w:val="single"/>
      <w:lang w:bidi="ar-SA"/>
    </w:rPr>
  </w:style>
  <w:style w:type="character" w:customStyle="1" w:styleId="a7">
    <w:basedOn w:val="DefaultParagraphFont"/>
    <w:rsid w:val="001A509E"/>
    <w:rPr>
      <w:b/>
      <w:iCs/>
      <w:kern w:val="32"/>
      <w:sz w:val="26"/>
      <w:szCs w:val="24"/>
      <w:u w:val="single"/>
      <w:lang w:bidi="ar-SA"/>
    </w:rPr>
  </w:style>
  <w:style w:type="character" w:customStyle="1" w:styleId="a8">
    <w:basedOn w:val="DefaultParagraphFont"/>
    <w:rsid w:val="001A509E"/>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1152"/>
    <w:rPr>
      <w:b/>
      <w:bCs/>
      <w:i/>
      <w:iCs/>
      <w:color w:val="4F81BD" w:themeColor="accent1"/>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7"/>
      </w:numPr>
    </w:pPr>
  </w:style>
  <w:style w:type="paragraph" w:styleId="ListBullet2">
    <w:name w:val="List Bullet 2"/>
    <w:basedOn w:val="Normal"/>
    <w:rsid w:val="00301152"/>
    <w:pPr>
      <w:numPr>
        <w:numId w:val="9"/>
      </w:numPr>
    </w:pPr>
  </w:style>
  <w:style w:type="paragraph" w:styleId="ListBullet3">
    <w:name w:val="List Bullet 3"/>
    <w:basedOn w:val="Normal"/>
    <w:rsid w:val="00301152"/>
    <w:pPr>
      <w:numPr>
        <w:numId w:val="11"/>
      </w:numPr>
    </w:pPr>
  </w:style>
  <w:style w:type="paragraph" w:styleId="ListBullet4">
    <w:name w:val="List Bullet 4"/>
    <w:basedOn w:val="Normal"/>
    <w:rsid w:val="00301152"/>
    <w:pPr>
      <w:numPr>
        <w:numId w:val="13"/>
      </w:numPr>
    </w:pPr>
  </w:style>
  <w:style w:type="paragraph" w:styleId="ListBullet5">
    <w:name w:val="List Bullet 5"/>
    <w:basedOn w:val="Normal"/>
    <w:rsid w:val="00301152"/>
    <w:pPr>
      <w:numPr>
        <w:numId w:val="15"/>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17"/>
      </w:numPr>
    </w:pPr>
  </w:style>
  <w:style w:type="paragraph" w:styleId="ListNumber2">
    <w:name w:val="List Number 2"/>
    <w:basedOn w:val="Normal"/>
    <w:rsid w:val="00301152"/>
    <w:pPr>
      <w:numPr>
        <w:numId w:val="19"/>
      </w:numPr>
    </w:pPr>
  </w:style>
  <w:style w:type="paragraph" w:styleId="ListNumber3">
    <w:name w:val="List Number 3"/>
    <w:basedOn w:val="Normal"/>
    <w:rsid w:val="00301152"/>
    <w:pPr>
      <w:numPr>
        <w:numId w:val="21"/>
      </w:numPr>
    </w:pPr>
  </w:style>
  <w:style w:type="paragraph" w:styleId="ListNumber4">
    <w:name w:val="List Number 4"/>
    <w:basedOn w:val="Normal"/>
    <w:rsid w:val="00301152"/>
    <w:pPr>
      <w:numPr>
        <w:numId w:val="23"/>
      </w:numPr>
    </w:pPr>
  </w:style>
  <w:style w:type="paragraph" w:styleId="ListNumber5">
    <w:name w:val="List Number 5"/>
    <w:basedOn w:val="Normal"/>
    <w:rsid w:val="00301152"/>
    <w:pPr>
      <w:numPr>
        <w:numId w:val="25"/>
      </w:numPr>
    </w:pPr>
  </w:style>
  <w:style w:type="paragraph" w:styleId="ListParagraph">
    <w:name w:val="List Paragraph"/>
    <w:basedOn w:val="Normal"/>
    <w:uiPriority w:val="34"/>
    <w:qFormat/>
    <w:rsid w:val="00301152"/>
    <w:pPr>
      <w:ind w:left="720"/>
      <w:contextualSpacing/>
    </w:pPr>
  </w:style>
  <w:style w:type="paragraph" w:styleId="MacroText">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bidi="ar-SA"/>
    </w:rPr>
  </w:style>
  <w:style w:type="character" w:customStyle="1" w:styleId="MacroTextChar">
    <w:name w:val="Macro Text Char"/>
    <w:basedOn w:val="DefaultParagraphFont"/>
    <w:link w:val="MacroText"/>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E43488"/>
    <w:pPr>
      <w:tabs>
        <w:tab w:val="right" w:leader="dot" w:pos="9360"/>
      </w:tabs>
      <w:spacing w:before="120"/>
    </w:pPr>
  </w:style>
  <w:style w:type="paragraph" w:customStyle="1" w:styleId="myTOC2">
    <w:name w:val="myTOC 2"/>
    <w:basedOn w:val="Normal"/>
    <w:next w:val="Normal"/>
    <w:rsid w:val="00E43488"/>
    <w:pPr>
      <w:tabs>
        <w:tab w:val="right" w:leader="dot" w:pos="9360"/>
      </w:tabs>
      <w:ind w:left="288"/>
    </w:pPr>
  </w:style>
  <w:style w:type="paragraph" w:customStyle="1" w:styleId="myTOC3">
    <w:name w:val="myTOC 3"/>
    <w:basedOn w:val="Normal"/>
    <w:next w:val="Normal"/>
    <w:rsid w:val="009A6DA1"/>
    <w:pPr>
      <w:tabs>
        <w:tab w:val="right" w:leader="dot" w:pos="9360"/>
      </w:tabs>
      <w:ind w:left="576"/>
    </w:pPr>
  </w:style>
  <w:style w:type="paragraph" w:customStyle="1" w:styleId="myTOC4">
    <w:name w:val="myTOC 4"/>
    <w:basedOn w:val="Normal"/>
    <w:next w:val="Normal"/>
    <w:rsid w:val="009A6DA1"/>
    <w:pPr>
      <w:tabs>
        <w:tab w:val="right" w:leader="dot" w:pos="9360"/>
      </w:tabs>
      <w:ind w:left="864"/>
    </w:pPr>
  </w:style>
  <w:style w:type="paragraph" w:customStyle="1" w:styleId="myTOC5">
    <w:name w:val="myTOC 5"/>
    <w:basedOn w:val="Normal"/>
    <w:next w:val="Normal"/>
    <w:rsid w:val="003B6D6F"/>
    <w:pPr>
      <w:tabs>
        <w:tab w:val="right" w:leader="dot" w:pos="9360"/>
      </w:tabs>
      <w:ind w:left="1152"/>
    </w:pPr>
  </w:style>
  <w:style w:type="paragraph" w:customStyle="1" w:styleId="myTOC6">
    <w:name w:val="myTOC 6"/>
    <w:basedOn w:val="Normal"/>
    <w:next w:val="Normal"/>
    <w:rsid w:val="009A6DA1"/>
    <w:pPr>
      <w:widowControl/>
      <w:tabs>
        <w:tab w:val="right" w:leader="dot" w:pos="9360"/>
      </w:tabs>
      <w:autoSpaceDE/>
      <w:autoSpaceDN/>
      <w:adjustRightInd/>
      <w:ind w:left="1440"/>
    </w:pPr>
  </w:style>
  <w:style w:type="paragraph" w:customStyle="1" w:styleId="myTOC7">
    <w:name w:val="myTOC 7"/>
    <w:basedOn w:val="Normal"/>
    <w:next w:val="Normal"/>
    <w:rsid w:val="009A6DA1"/>
    <w:pPr>
      <w:widowControl/>
      <w:tabs>
        <w:tab w:val="right" w:leader="dot" w:pos="9360"/>
      </w:tabs>
      <w:autoSpaceDE/>
      <w:autoSpaceDN/>
      <w:adjustRightInd/>
      <w:ind w:left="1728"/>
    </w:pPr>
  </w:style>
  <w:style w:type="paragraph" w:customStyle="1" w:styleId="myTOC8">
    <w:name w:val="myTOC 8"/>
    <w:basedOn w:val="Normal"/>
    <w:next w:val="Normal"/>
    <w:rsid w:val="009A6DA1"/>
    <w:pPr>
      <w:widowControl/>
      <w:tabs>
        <w:tab w:val="right" w:leader="dot" w:pos="9360"/>
      </w:tabs>
      <w:autoSpaceDE/>
      <w:autoSpaceDN/>
      <w:adjustRightInd/>
      <w:ind w:left="2016"/>
    </w:pPr>
  </w:style>
  <w:style w:type="paragraph" w:customStyle="1" w:styleId="myTOC9">
    <w:name w:val="myTOC 9"/>
    <w:basedOn w:val="Normal"/>
    <w:next w:val="Normal"/>
    <w:rsid w:val="009A6DA1"/>
    <w:pPr>
      <w:widowControl/>
      <w:tabs>
        <w:tab w:val="right" w:leader="dot" w:pos="9360"/>
      </w:tabs>
      <w:autoSpaceDE/>
      <w:autoSpaceDN/>
      <w:adjustRightInd/>
      <w:ind w:left="2304"/>
    </w:pPr>
  </w:style>
  <w:style w:type="paragraph" w:styleId="NoSpacing">
    <w:name w:val="No Spacing"/>
    <w:uiPriority w:val="1"/>
    <w:qFormat/>
    <w:rsid w:val="00301152"/>
    <w:pPr>
      <w:widowControl w:val="0"/>
      <w:autoSpaceDE w:val="0"/>
      <w:autoSpaceDN w:val="0"/>
      <w:adjustRightInd w:val="0"/>
    </w:pPr>
    <w:rPr>
      <w:szCs w:val="24"/>
      <w:lang w:bidi="ar-SA"/>
    </w:rPr>
  </w:style>
  <w:style w:type="paragraph" w:customStyle="1" w:styleId="Non-TOCStyle">
    <w:name w:val="Non-TOC Style"/>
    <w:basedOn w:val="Normal"/>
    <w:next w:val="FERCparanumber"/>
    <w:rsid w:val="00301152"/>
    <w:pPr>
      <w:keepNext/>
      <w:keepLines/>
      <w:widowControl/>
      <w:spacing w:after="260"/>
      <w:jc w:val="center"/>
      <w:outlineLvl w:val="4"/>
    </w:pPr>
    <w:rPr>
      <w:b/>
      <w:u w:val="single"/>
    </w:rPr>
  </w:style>
  <w:style w:type="paragraph" w:styleId="NormalWeb">
    <w:name w:val="Normal (Web)"/>
    <w:basedOn w:val="Normal"/>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themeColor="text1"/>
    </w:rPr>
  </w:style>
  <w:style w:type="character" w:customStyle="1" w:styleId="QuoteChar">
    <w:name w:val="Quote Char"/>
    <w:basedOn w:val="DefaultParagraphFont"/>
    <w:link w:val="Quote"/>
    <w:uiPriority w:val="29"/>
    <w:rsid w:val="00301152"/>
    <w:rPr>
      <w:i/>
      <w:iCs/>
      <w:color w:val="000000" w:themeColor="text1"/>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Theme="majorHAnsi" w:eastAsiaTheme="majorEastAsia" w:hAnsiTheme="majorHAnsi" w:cstheme="majorBidi"/>
      <w:color w:val="365F91" w:themeColor="accent1" w:themeShade="BF"/>
      <w:kern w:val="0"/>
      <w:sz w:val="28"/>
      <w:szCs w:val="28"/>
      <w:u w:val="none"/>
    </w:rPr>
  </w:style>
  <w:style w:type="character" w:styleId="Hyperlink">
    <w:name w:val="Hyperlink"/>
    <w:basedOn w:val="DefaultParagraphFont"/>
    <w:rsid w:val="0025400C"/>
    <w:rPr>
      <w:color w:val="0000FF"/>
      <w:u w:val="single"/>
    </w:rPr>
  </w:style>
  <w:style w:type="character" w:customStyle="1" w:styleId="HeaderChar">
    <w:name w:val="Header Char"/>
    <w:basedOn w:val="DefaultParagraphFont"/>
    <w:link w:val="Header"/>
    <w:uiPriority w:val="99"/>
    <w:rsid w:val="00723333"/>
    <w:rPr>
      <w:sz w:val="26"/>
      <w:szCs w:val="24"/>
      <w:lang w:bidi="ar-SA"/>
    </w:rPr>
  </w:style>
  <w:style w:type="character" w:customStyle="1" w:styleId="a9">
    <w:basedOn w:val="DefaultParagraphFont"/>
    <w:uiPriority w:val="99"/>
    <w:rsid w:val="00723333"/>
    <w:rPr>
      <w:sz w:val="26"/>
      <w:lang w:bidi="ar-SA"/>
    </w:rPr>
  </w:style>
  <w:style w:type="character" w:styleId="PlaceholderText">
    <w:name w:val="Placeholder Text"/>
    <w:basedOn w:val="DefaultParagraphFont"/>
    <w:uiPriority w:val="99"/>
    <w:semiHidden/>
    <w:rsid w:val="00044589"/>
    <w:rPr>
      <w:color w:val="808080"/>
    </w:rPr>
  </w:style>
  <w:style w:type="paragraph" w:customStyle="1" w:styleId="LetterStyle">
    <w:name w:val="Letter Style"/>
    <w:basedOn w:val="Normal"/>
    <w:rsid w:val="00044589"/>
    <w:pPr>
      <w:widowControl/>
      <w:autoSpaceDE/>
      <w:autoSpaceDN/>
      <w:adjustRightInd/>
      <w:spacing w:after="240"/>
      <w:ind w:firstLine="720"/>
    </w:pPr>
  </w:style>
  <w:style w:type="character" w:customStyle="1" w:styleId="aa">
    <w:basedOn w:val="DefaultParagraphFont"/>
    <w:rsid w:val="0005260D"/>
    <w:rPr>
      <w:b/>
      <w:bCs/>
      <w:kern w:val="32"/>
      <w:sz w:val="26"/>
      <w:szCs w:val="32"/>
      <w:u w:val="single"/>
      <w:lang w:bidi="ar-SA"/>
    </w:rPr>
  </w:style>
  <w:style w:type="character" w:customStyle="1" w:styleId="Heading1Char">
    <w:name w:val="Heading 1 Char"/>
    <w:basedOn w:val="DefaultParagraphFont"/>
    <w:link w:val="Heading1"/>
    <w:rsid w:val="00563982"/>
    <w:rPr>
      <w:b/>
      <w:bCs/>
      <w:kern w:val="32"/>
      <w:szCs w:val="32"/>
      <w:u w:val="single"/>
    </w:rPr>
  </w:style>
  <w:style w:type="character" w:customStyle="1" w:styleId="FooterChar">
    <w:name w:val="Footer Char"/>
    <w:basedOn w:val="DefaultParagraphFont"/>
    <w:link w:val="Footer"/>
    <w:rsid w:val="00D55555"/>
    <w:rPr>
      <w:sz w:val="26"/>
      <w:szCs w:val="24"/>
      <w:lang w:bidi="ar-SA"/>
    </w:rPr>
  </w:style>
  <w:style w:type="character" w:customStyle="1" w:styleId="apple-converted-space">
    <w:name w:val="apple-converted-space"/>
    <w:basedOn w:val="DefaultParagraphFont"/>
    <w:rsid w:val="00DB52C9"/>
  </w:style>
  <w:style w:type="character" w:customStyle="1" w:styleId="FERCparanumberChar">
    <w:name w:val="FERC paranumber Char"/>
    <w:basedOn w:val="DefaultParagraphFont"/>
    <w:link w:val="FERCparanumber"/>
    <w:rsid w:val="00103AE2"/>
    <w:rPr>
      <w:rFonts w:eastAsiaTheme="minorHAnsi"/>
      <w:sz w:val="26"/>
      <w:szCs w:val="22"/>
      <w:lang w:bidi="ar-SA"/>
    </w:rPr>
  </w:style>
  <w:style w:type="paragraph" w:styleId="FootnoteText">
    <w:name w:val="footnote text"/>
    <w:aliases w:val="Footnote Text Char1 Char,Footnote Text Char Char Char,Footnote Text Char1,Footnote Text Char Char,Footnote Text Char Char1,fn,Footnote Text MRP,Footnote Text Char3,Footnote Text Char2 Char,ft Char,Footnote Text Char1 Char Char Char1,ft,f,c"/>
    <w:basedOn w:val="Normal"/>
    <w:link w:val="FootnoteTextChar"/>
    <w:unhideWhenUsed/>
    <w:qFormat/>
    <w:rsid w:val="000C751C"/>
    <w:pPr>
      <w:spacing w:after="260"/>
      <w:ind w:firstLine="720"/>
    </w:pPr>
    <w:rPr>
      <w:szCs w:val="20"/>
    </w:rPr>
  </w:style>
  <w:style w:type="character" w:customStyle="1" w:styleId="FootnoteTextChar">
    <w:name w:val="Footnote Text Char"/>
    <w:aliases w:val="Footnote Text Char1 Char Char,Footnote Text Char Char Char Char,Footnote Text Char1 Char1,Footnote Text Char Char Char1,Footnote Text Char Char1 Char,fn Char,Footnote Text MRP Char,Footnote Text Char3 Char,ft Char Char,ft Char1,f Char"/>
    <w:basedOn w:val="DefaultParagraphFont"/>
    <w:link w:val="FootnoteText"/>
    <w:rsid w:val="000C751C"/>
    <w:rPr>
      <w:szCs w:val="20"/>
    </w:rPr>
  </w:style>
  <w:style w:type="character" w:styleId="FootnoteReference">
    <w:name w:val="footnote reference"/>
    <w:aliases w:val="o,fr,Style 13,Style 12,Style 15,Style 17,Style 9,o1,fr1,o2,fr2,o3,fr3,Style 18,(NECG) Footnote Reference,Style 20,Style 7,Style 8,Style 19,Style 28,Style 11,Style 16,Styl,Footnote Reference (EIS),fnr,Footnote reference (EA),Style 30,."/>
    <w:basedOn w:val="DefaultParagraphFont"/>
    <w:unhideWhenUsed/>
    <w:qFormat/>
    <w:rsid w:val="000C751C"/>
    <w:rPr>
      <w:rFonts w:ascii="Times New Roman" w:hAnsi="Times New Roman" w:cs="Times New Roman"/>
      <w:b/>
      <w:sz w:val="2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071864">
      <w:bodyDiv w:val="1"/>
      <w:marLeft w:val="0"/>
      <w:marRight w:val="0"/>
      <w:marTop w:val="0"/>
      <w:marBottom w:val="0"/>
      <w:divBdr>
        <w:top w:val="none" w:sz="0" w:space="0" w:color="auto"/>
        <w:left w:val="none" w:sz="0" w:space="0" w:color="auto"/>
        <w:bottom w:val="none" w:sz="0" w:space="0" w:color="auto"/>
        <w:right w:val="none" w:sz="0" w:space="0" w:color="auto"/>
      </w:divBdr>
    </w:div>
    <w:div w:id="1552813857">
      <w:bodyDiv w:val="1"/>
      <w:marLeft w:val="0"/>
      <w:marRight w:val="0"/>
      <w:marTop w:val="0"/>
      <w:marBottom w:val="0"/>
      <w:divBdr>
        <w:top w:val="none" w:sz="0" w:space="0" w:color="auto"/>
        <w:left w:val="none" w:sz="0" w:space="0" w:color="auto"/>
        <w:bottom w:val="none" w:sz="0" w:space="0" w:color="auto"/>
        <w:right w:val="none" w:sz="0" w:space="0" w:color="auto"/>
      </w:divBdr>
    </w:div>
    <w:div w:id="1925214137">
      <w:bodyDiv w:val="1"/>
      <w:marLeft w:val="0"/>
      <w:marRight w:val="0"/>
      <w:marTop w:val="0"/>
      <w:marBottom w:val="0"/>
      <w:divBdr>
        <w:top w:val="none" w:sz="0" w:space="0" w:color="auto"/>
        <w:left w:val="none" w:sz="0" w:space="0" w:color="auto"/>
        <w:bottom w:val="none" w:sz="0" w:space="0" w:color="auto"/>
        <w:right w:val="none" w:sz="0" w:space="0" w:color="auto"/>
      </w:divBdr>
    </w:div>
    <w:div w:id="2022931033">
      <w:bodyDiv w:val="1"/>
      <w:marLeft w:val="0"/>
      <w:marRight w:val="0"/>
      <w:marTop w:val="0"/>
      <w:marBottom w:val="0"/>
      <w:divBdr>
        <w:top w:val="none" w:sz="0" w:space="0" w:color="auto"/>
        <w:left w:val="none" w:sz="0" w:space="0" w:color="auto"/>
        <w:bottom w:val="none" w:sz="0" w:space="0" w:color="auto"/>
        <w:right w:val="none" w:sz="0" w:space="0" w:color="auto"/>
      </w:divBdr>
    </w:div>
    <w:div w:id="203253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D5A01-F001-47A5-B520-476FC89B4919}">
  <ds:schemaRefs>
    <ds:schemaRef ds:uri="Microsoft.SharePoint.Taxonomy.ContentTypeSync"/>
  </ds:schemaRefs>
</ds:datastoreItem>
</file>

<file path=customXml/itemProps2.xml><?xml version="1.0" encoding="utf-8"?>
<ds:datastoreItem xmlns:ds="http://schemas.openxmlformats.org/officeDocument/2006/customXml" ds:itemID="{964F91D6-FA9C-4DDD-93C9-3AE2DA41431D}">
  <ds:schemaRefs>
    <ds:schemaRef ds:uri="http://purl.org/dc/elements/1.1/"/>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5e8733a2-e908-454b-85cf-c9d17e1d0943"/>
    <ds:schemaRef ds:uri="http://schemas.microsoft.com/office/2006/metadata/properties"/>
  </ds:schemaRefs>
</ds:datastoreItem>
</file>

<file path=customXml/itemProps3.xml><?xml version="1.0" encoding="utf-8"?>
<ds:datastoreItem xmlns:ds="http://schemas.openxmlformats.org/officeDocument/2006/customXml" ds:itemID="{818927E3-71BB-46E1-B6CA-3372BB508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9FC88C-0F5A-421D-ABAF-AE4127C00AF6}">
  <ds:schemaRefs>
    <ds:schemaRef ds:uri="http://schemas.microsoft.com/sharepoint/v3/contenttype/forms"/>
  </ds:schemaRefs>
</ds:datastoreItem>
</file>

<file path=customXml/itemProps5.xml><?xml version="1.0" encoding="utf-8"?>
<ds:datastoreItem xmlns:ds="http://schemas.openxmlformats.org/officeDocument/2006/customXml" ds:itemID="{97697167-329A-4608-864C-96D72571F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2261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Notice to the Public_New eTariff TOFC_4-19-2018</vt:lpstr>
    </vt:vector>
  </TitlesOfParts>
  <Company>Federal Energy Regulatory Commission</Company>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the Public_New eTariff TOFC_4-19-2018</dc:title>
  <dc:creator>Andrew Satten</dc:creator>
  <cp:lastModifiedBy>Andrew Satten</cp:lastModifiedBy>
  <cp:revision>2</cp:revision>
  <dcterms:created xsi:type="dcterms:W3CDTF">2018-04-19T16:46:00Z</dcterms:created>
  <dcterms:modified xsi:type="dcterms:W3CDTF">2018-04-19T16:46:00Z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0x01010040BBA46C296F7C4CB651D6F7E4CC084A</vt:lpwstr>
  </property>
</Properties>
</file>